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2229"/>
        <w:tblW w:w="5000" w:type="pct"/>
        <w:tblBorders>
          <w:bottom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2389"/>
      </w:tblGrid>
      <w:tr w:rsidR="007972B9" w14:paraId="78BE687C" w14:textId="77777777">
        <w:trPr>
          <w:trHeight w:val="737"/>
        </w:trPr>
        <w:tc>
          <w:tcPr>
            <w:tcW w:w="1250" w:type="pct"/>
            <w:shd w:val="clear" w:color="auto" w:fill="auto"/>
            <w:vAlign w:val="center"/>
          </w:tcPr>
          <w:p w14:paraId="38FE81F8" w14:textId="77777777" w:rsidR="007972B9" w:rsidRDefault="002343ED">
            <w:pPr>
              <w:pStyle w:val="P68B1DB1-Normal1"/>
              <w:widowControl w:val="0"/>
              <w:autoSpaceDE w:val="0"/>
              <w:autoSpaceDN w:val="0"/>
              <w:adjustRightInd w:val="0"/>
            </w:pPr>
            <w:r>
              <w:t>ZAMJENICI MINISTARA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CCE6EE" w14:textId="77777777" w:rsidR="007972B9" w:rsidRDefault="002343ED">
            <w:pPr>
              <w:pStyle w:val="P68B1DB1-Normal2"/>
              <w:ind w:left="-108"/>
              <w:jc w:val="center"/>
              <w:rPr>
                <w:rFonts w:cs="Arial"/>
              </w:rPr>
            </w:pPr>
            <w:r>
              <w:t>Preporuke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C3F826" w14:textId="60FB64CC" w:rsidR="007972B9" w:rsidRDefault="002343ED">
            <w:pPr>
              <w:pStyle w:val="P68B1DB1-Normal3"/>
              <w:ind w:left="-40"/>
              <w:jc w:val="center"/>
              <w:rPr>
                <w:rFonts w:cs="Arial"/>
              </w:rPr>
            </w:pPr>
            <w:r>
              <w:t>Cm/Rec(2023)5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13B2C7" w14:textId="4A9DAA71" w:rsidR="007972B9" w:rsidRDefault="002343ED">
            <w:pPr>
              <w:pStyle w:val="P68B1DB1-Normal4"/>
              <w:jc w:val="right"/>
              <w:rPr>
                <w:rFonts w:cs="Arial"/>
              </w:rPr>
            </w:pPr>
            <w:r>
              <w:t>6. rujna 2023.</w:t>
            </w:r>
          </w:p>
        </w:tc>
      </w:tr>
    </w:tbl>
    <w:p w14:paraId="3BBB6857" w14:textId="77777777" w:rsidR="007972B9" w:rsidRDefault="007972B9">
      <w:pPr>
        <w:framePr w:hSpace="141" w:wrap="around" w:vAnchor="text" w:hAnchor="page" w:x="1630" w:y="231"/>
        <w:rPr>
          <w:rFonts w:cs="Arial"/>
          <w:sz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7972B9" w14:paraId="671902C3" w14:textId="77777777">
        <w:tc>
          <w:tcPr>
            <w:tcW w:w="9399" w:type="dxa"/>
            <w:shd w:val="clear" w:color="auto" w:fill="auto"/>
            <w:tcMar>
              <w:top w:w="227" w:type="dxa"/>
              <w:bottom w:w="227" w:type="dxa"/>
            </w:tcMar>
            <w:vAlign w:val="center"/>
          </w:tcPr>
          <w:p w14:paraId="06AB11FE" w14:textId="352505AC" w:rsidR="007972B9" w:rsidRDefault="002343ED">
            <w:pPr>
              <w:pStyle w:val="P68B1DB1-Normal5"/>
            </w:pPr>
            <w:r>
              <w:t>Preporuka CM/Rec(2023)5</w:t>
            </w:r>
          </w:p>
          <w:p w14:paraId="2E095767" w14:textId="77777777" w:rsidR="007972B9" w:rsidRDefault="002343ED">
            <w:pPr>
              <w:pStyle w:val="P68B1DB1-Normal5"/>
            </w:pPr>
            <w:r>
              <w:t xml:space="preserve">odbora ministara državama članicama </w:t>
            </w:r>
          </w:p>
          <w:p w14:paraId="1F9E9EDC" w14:textId="376ADDBD" w:rsidR="007972B9" w:rsidRDefault="002343ED">
            <w:pPr>
              <w:pStyle w:val="P68B1DB1-Normal5"/>
            </w:pPr>
            <w:r>
              <w:t>o načelima dobrog demokratskog upravljanja</w:t>
            </w:r>
          </w:p>
          <w:p w14:paraId="23411BD1" w14:textId="77777777" w:rsidR="007972B9" w:rsidRDefault="007972B9">
            <w:pPr>
              <w:rPr>
                <w:rFonts w:ascii="Arial Narrow" w:hAnsi="Arial Narrow" w:cs="Calibri"/>
                <w:sz w:val="22"/>
              </w:rPr>
            </w:pPr>
          </w:p>
          <w:p w14:paraId="13D4D5C1" w14:textId="30AAACC3" w:rsidR="007972B9" w:rsidRDefault="002343ED" w:rsidP="00596078">
            <w:pPr>
              <w:pStyle w:val="P68B1DB1-Normal6"/>
              <w:rPr>
                <w:b/>
              </w:rPr>
            </w:pPr>
            <w:r>
              <w:t>(</w:t>
            </w:r>
            <w:r w:rsidR="00596078">
              <w:t>Usvojio</w:t>
            </w:r>
            <w:r>
              <w:t xml:space="preserve"> Odbor ministara 6. rujna 2023.</w:t>
            </w:r>
            <w:r>
              <w:br/>
              <w:t>na</w:t>
            </w:r>
            <w:r w:rsidR="00596078">
              <w:t xml:space="preserve"> </w:t>
            </w:r>
            <w:r w:rsidRPr="00596078">
              <w:t>1473.</w:t>
            </w:r>
            <w:r>
              <w:t xml:space="preserve"> sastanku zamjenika ministara)</w:t>
            </w:r>
          </w:p>
        </w:tc>
      </w:tr>
    </w:tbl>
    <w:p w14:paraId="458BCEC7" w14:textId="77777777" w:rsidR="007972B9" w:rsidRDefault="002343ED">
      <w:pPr>
        <w:pStyle w:val="P68B1DB1-Normal7"/>
      </w:pPr>
      <w:r>
        <w:t xml:space="preserve"> </w:t>
      </w:r>
    </w:p>
    <w:p w14:paraId="1F887D44" w14:textId="77777777" w:rsidR="007972B9" w:rsidRDefault="002343ED">
      <w:pPr>
        <w:pStyle w:val="P68B1DB1-Normal7"/>
        <w:rPr>
          <w:rFonts w:cs="Arial"/>
        </w:rPr>
      </w:pPr>
      <w:r>
        <w:t xml:space="preserve"> </w:t>
      </w:r>
    </w:p>
    <w:p w14:paraId="723A09D3" w14:textId="14B28494" w:rsidR="007972B9" w:rsidRDefault="002343ED">
      <w:pPr>
        <w:rPr>
          <w:rFonts w:cs="Arial"/>
        </w:rPr>
      </w:pPr>
      <w:r>
        <w:rPr>
          <w:rFonts w:cs="Arial"/>
        </w:rPr>
        <w:t>Odbor ministara, na temelju članka 15.</w:t>
      </w:r>
      <w:r w:rsidR="00596078">
        <w:rPr>
          <w:rFonts w:cs="Arial"/>
        </w:rPr>
        <w:t xml:space="preserve"> </w:t>
      </w:r>
      <w:r w:rsidR="00596078" w:rsidRPr="00596078">
        <w:rPr>
          <w:rStyle w:val="Istaknuto"/>
          <w:rFonts w:cs="Arial"/>
          <w:i w:val="0"/>
        </w:rPr>
        <w:t>stavka</w:t>
      </w:r>
      <w:r w:rsidRPr="00596078">
        <w:rPr>
          <w:rFonts w:cs="Arial"/>
          <w:i/>
        </w:rPr>
        <w:t xml:space="preserve"> </w:t>
      </w:r>
      <w:r w:rsidR="00596078">
        <w:rPr>
          <w:rFonts w:cs="Arial"/>
        </w:rPr>
        <w:t>b.</w:t>
      </w:r>
      <w:bookmarkStart w:id="0" w:name="_Hlk137200575"/>
      <w:r w:rsidR="00596078">
        <w:rPr>
          <w:rFonts w:cs="Arial"/>
        </w:rPr>
        <w:t xml:space="preserve"> Statuta Vijeća Europe (</w:t>
      </w:r>
      <w:r>
        <w:rPr>
          <w:rFonts w:cs="Arial"/>
        </w:rPr>
        <w:t>ETS br. 1),</w:t>
      </w:r>
      <w:bookmarkEnd w:id="0"/>
    </w:p>
    <w:p w14:paraId="3797C91B" w14:textId="77777777" w:rsidR="007972B9" w:rsidRDefault="007972B9">
      <w:pPr>
        <w:rPr>
          <w:rFonts w:cs="Arial"/>
        </w:rPr>
      </w:pPr>
    </w:p>
    <w:p w14:paraId="550AE88C" w14:textId="4F42413F" w:rsidR="007972B9" w:rsidRDefault="002343ED">
      <w:pPr>
        <w:pStyle w:val="P68B1DB1-Normal8"/>
      </w:pPr>
      <w:r>
        <w:t xml:space="preserve">Uzimajući </w:t>
      </w:r>
      <w:r w:rsidR="00596078">
        <w:t xml:space="preserve">u obzir </w:t>
      </w:r>
      <w:r>
        <w:t xml:space="preserve">da je cilj Vijeća Europe postići veće jedinstvo među svojim državama članicama u svrhu očuvanja i ostvarivanja ideala i načela koji su njihova zajednička baština </w:t>
      </w:r>
      <w:r w:rsidR="00596078">
        <w:t>te</w:t>
      </w:r>
      <w:r>
        <w:t xml:space="preserve"> olakšavanja njihova gospodarskog i društvenog napretka;</w:t>
      </w:r>
    </w:p>
    <w:p w14:paraId="1E88379A" w14:textId="77777777" w:rsidR="007972B9" w:rsidRDefault="007972B9">
      <w:pPr>
        <w:rPr>
          <w:rFonts w:cs="Arial"/>
        </w:rPr>
      </w:pPr>
    </w:p>
    <w:p w14:paraId="6AC9C245" w14:textId="57B6A319" w:rsidR="007972B9" w:rsidRDefault="002343ED">
      <w:pPr>
        <w:pStyle w:val="P68B1DB1-Normal8"/>
      </w:pPr>
      <w:bookmarkStart w:id="1" w:name="_Hlk97559270"/>
      <w:r>
        <w:t>Uvjerene da je dobro demokratsko upravljanje ključ</w:t>
      </w:r>
      <w:r w:rsidR="00596078">
        <w:t>an</w:t>
      </w:r>
      <w:r>
        <w:t xml:space="preserve"> uvjet za </w:t>
      </w:r>
      <w:r w:rsidR="00596078">
        <w:t>osiguranje</w:t>
      </w:r>
      <w:r>
        <w:t xml:space="preserve"> zaštite ljudskih prava, demokracije i vladavine prava, a time i mira i sigurnosti u Europi; </w:t>
      </w:r>
    </w:p>
    <w:p w14:paraId="592EBB2A" w14:textId="77777777" w:rsidR="007972B9" w:rsidRDefault="007972B9">
      <w:pPr>
        <w:rPr>
          <w:rFonts w:cs="Arial"/>
        </w:rPr>
      </w:pPr>
    </w:p>
    <w:p w14:paraId="70CF1BE3" w14:textId="77777777" w:rsidR="007972B9" w:rsidRDefault="002343ED">
      <w:pPr>
        <w:pStyle w:val="P68B1DB1-Normal8"/>
      </w:pPr>
      <w:r>
        <w:t xml:space="preserve">Uvjerene da demokratski sigurno društvo diljem Europe, koje je otporno na trenutačne i nove izazove, zahtijeva „dobro” i „demokratsko” upravljanje na svim razinama vlasti; </w:t>
      </w:r>
    </w:p>
    <w:p w14:paraId="546DC74E" w14:textId="77777777" w:rsidR="007972B9" w:rsidRDefault="007972B9">
      <w:pPr>
        <w:rPr>
          <w:rFonts w:cs="Arial"/>
        </w:rPr>
      </w:pPr>
      <w:bookmarkStart w:id="2" w:name="_GoBack"/>
      <w:bookmarkEnd w:id="1"/>
      <w:bookmarkEnd w:id="2"/>
    </w:p>
    <w:p w14:paraId="1283CE49" w14:textId="4E3F8327" w:rsidR="007972B9" w:rsidRDefault="002343ED">
      <w:pPr>
        <w:pStyle w:val="P68B1DB1-Normal8"/>
      </w:pPr>
      <w:r>
        <w:t>Zabrinut zbog nazadovanja demokratskih institucija u Europi, kako je posebno istaknuto u godišnjim izvješćima glavnog tajnika Vijeća Europe za 2021. i 2023. te u izvješćima Parlamentarne skupštine naslovljenima „Nedavni izazovi za sigurnost u Europi: koju ulogu ima Vijeće Europe (dok. 15541</w:t>
      </w:r>
      <w:bookmarkStart w:id="3" w:name="_Hlk137211790"/>
      <w:r>
        <w:t xml:space="preserve">, Preporuka 2235 (2022), Rezolucija 2444 (2022)) </w:t>
      </w:r>
      <w:bookmarkEnd w:id="3"/>
      <w:r>
        <w:t xml:space="preserve">i „Zaštita i promicanje istinske demokracije u Europi” </w:t>
      </w:r>
      <w:bookmarkStart w:id="4" w:name="_Hlk137211867"/>
      <w:r>
        <w:t>(dok. 15486, Preporuka 2232 (2022), Rezolucija 2437 (2022))</w:t>
      </w:r>
      <w:bookmarkEnd w:id="4"/>
      <w:r>
        <w:t>;</w:t>
      </w:r>
    </w:p>
    <w:p w14:paraId="658D7CEA" w14:textId="77777777" w:rsidR="007972B9" w:rsidRDefault="007972B9">
      <w:pPr>
        <w:rPr>
          <w:rFonts w:cs="Arial"/>
        </w:rPr>
      </w:pPr>
    </w:p>
    <w:p w14:paraId="7FFE1843" w14:textId="2F4040FC" w:rsidR="007972B9" w:rsidRDefault="002343ED">
      <w:pPr>
        <w:pStyle w:val="P68B1DB1-Normal8"/>
      </w:pPr>
      <w:r>
        <w:t xml:space="preserve">Uvjerene da je dobro demokratsko upravljanje ključno za izgradnju </w:t>
      </w:r>
      <w:r w:rsidR="00363594">
        <w:t>pouzdanja</w:t>
      </w:r>
      <w:r>
        <w:t xml:space="preserve"> i povjerenja ljudi u javne institucije </w:t>
      </w:r>
      <w:r w:rsidR="00363594">
        <w:t>te</w:t>
      </w:r>
      <w:r>
        <w:t xml:space="preserve"> osjećaj </w:t>
      </w:r>
      <w:r w:rsidR="00D60609">
        <w:t>vlasništva nad tim institucijama</w:t>
      </w:r>
      <w:r>
        <w:t>;</w:t>
      </w:r>
    </w:p>
    <w:p w14:paraId="51F5BAD3" w14:textId="77777777" w:rsidR="007972B9" w:rsidRDefault="007972B9">
      <w:pPr>
        <w:rPr>
          <w:rFonts w:cs="Arial"/>
        </w:rPr>
      </w:pPr>
    </w:p>
    <w:p w14:paraId="5B0D0D7D" w14:textId="416E15D5" w:rsidR="007972B9" w:rsidRDefault="002343ED">
      <w:pPr>
        <w:pStyle w:val="P68B1DB1-Normal8"/>
      </w:pPr>
      <w:r>
        <w:t xml:space="preserve">Imajući na umu rad drugih tijela Vijeća Europe, posebno Kongresa lokalnih i regionalnih vlasti, Konferencije međunarodnih nevladinih organizacija, </w:t>
      </w:r>
      <w:r w:rsidR="00377272">
        <w:t>P</w:t>
      </w:r>
      <w:r>
        <w:t>ovjerenika za ljudska prava, raznih specijaliziranih tijela koja se na različite načine bave funkcioniranjem javnih institucija u trima granama vlasti, kao i zaključke uzastopnih sastanaka Svjetskog foruma za demokraciju;</w:t>
      </w:r>
    </w:p>
    <w:p w14:paraId="1ECB5046" w14:textId="77777777" w:rsidR="007972B9" w:rsidRDefault="007972B9">
      <w:pPr>
        <w:rPr>
          <w:rFonts w:cs="Arial"/>
        </w:rPr>
      </w:pPr>
    </w:p>
    <w:p w14:paraId="5F67682C" w14:textId="3DC1FE35" w:rsidR="007972B9" w:rsidRDefault="002343ED">
      <w:pPr>
        <w:pStyle w:val="P68B1DB1-Normal8"/>
      </w:pPr>
      <w:r>
        <w:t>Uzimajući u obzir Strategiju za inovacije i dobro upravljanje na lokalnoj razini, uključujući 12 načela dobrog demokratskog upravljanja na lokalnoj razini, priložen</w:t>
      </w:r>
      <w:r w:rsidR="00377272">
        <w:t>e</w:t>
      </w:r>
      <w:r>
        <w:t xml:space="preserve"> Deklaraciji iz Valencije, usvojen</w:t>
      </w:r>
      <w:r w:rsidR="00377272">
        <w:t>oj</w:t>
      </w:r>
      <w:r>
        <w:t xml:space="preserve"> 15. i 16. listopada 2007. na 15.</w:t>
      </w:r>
      <w:r w:rsidR="00363594">
        <w:t xml:space="preserve"> </w:t>
      </w:r>
      <w:r w:rsidRPr="00363594">
        <w:t xml:space="preserve">sjednici </w:t>
      </w:r>
      <w:r>
        <w:t>Konferencije europskih ministara nadležnih za lokalne i r</w:t>
      </w:r>
      <w:r w:rsidR="00377272">
        <w:t xml:space="preserve">egionalne vlasti (Valencia, 15. i </w:t>
      </w:r>
      <w:r>
        <w:t xml:space="preserve">16. listopada 2007.), kao i </w:t>
      </w:r>
      <w:bookmarkStart w:id="5" w:name="_Hlk137212452"/>
      <w:r>
        <w:t>Rezoluciju A/RES/70/1 koju je donijela Opća skupština Ujedinjenih naroda 25. rujna 2015.</w:t>
      </w:r>
      <w:r w:rsidR="00377272">
        <w:t>, naslovljenu</w:t>
      </w:r>
      <w:r>
        <w:t xml:space="preserve"> </w:t>
      </w:r>
      <w:bookmarkEnd w:id="5"/>
      <w:r>
        <w:t>„Promijeniti svijet: program održivog razvoja do 2030.” i nje</w:t>
      </w:r>
      <w:r w:rsidR="00377272">
        <w:t>zin</w:t>
      </w:r>
      <w:r>
        <w:t xml:space="preserve">ih 17 ciljeva održivog razvoja, posebno cilj </w:t>
      </w:r>
      <w:r w:rsidR="00377272">
        <w:t xml:space="preserve">16. </w:t>
      </w:r>
      <w:r>
        <w:t>„Mir, pravda i snažne institucije”;</w:t>
      </w:r>
    </w:p>
    <w:p w14:paraId="1D143854" w14:textId="77777777" w:rsidR="007972B9" w:rsidRDefault="007972B9">
      <w:pPr>
        <w:rPr>
          <w:rFonts w:cs="Arial"/>
        </w:rPr>
      </w:pPr>
    </w:p>
    <w:p w14:paraId="2BC1A7EA" w14:textId="0A0E2251" w:rsidR="007972B9" w:rsidRDefault="002343ED">
      <w:pPr>
        <w:pStyle w:val="P68B1DB1-Normal8"/>
        <w:autoSpaceDE w:val="0"/>
        <w:autoSpaceDN w:val="0"/>
        <w:adjustRightInd w:val="0"/>
      </w:pPr>
      <w:r>
        <w:t xml:space="preserve">Uzimajući u obzir ishode 4. </w:t>
      </w:r>
      <w:r w:rsidR="00363594">
        <w:t>S</w:t>
      </w:r>
      <w:r>
        <w:t>astanka</w:t>
      </w:r>
      <w:r w:rsidR="00363594">
        <w:t xml:space="preserve"> </w:t>
      </w:r>
      <w:r w:rsidRPr="00363594">
        <w:t>na</w:t>
      </w:r>
      <w:r>
        <w:t xml:space="preserve"> vrhu čelnika država i vlada Vijeća Europe (</w:t>
      </w:r>
      <w:bookmarkStart w:id="6" w:name="_Hlk135041180"/>
      <w:r>
        <w:t>Reykjavík, 16. i 17. svibnja 2023.</w:t>
      </w:r>
      <w:bookmarkEnd w:id="6"/>
      <w:r>
        <w:t>), posebno Deklaraciju iz Reykjavíka „Ujedinjen</w:t>
      </w:r>
      <w:r w:rsidR="00377272">
        <w:t>i</w:t>
      </w:r>
      <w:r>
        <w:t xml:space="preserve"> oko naših vrijednosti” i priložena </w:t>
      </w:r>
      <w:r w:rsidR="00377272">
        <w:t>N</w:t>
      </w:r>
      <w:r>
        <w:t>ačela demokracije iz Reykjavíka;</w:t>
      </w:r>
      <w:r w:rsidR="00377272">
        <w:t xml:space="preserve"> </w:t>
      </w:r>
    </w:p>
    <w:p w14:paraId="3F5374BB" w14:textId="77777777" w:rsidR="007972B9" w:rsidRDefault="007972B9">
      <w:pPr>
        <w:autoSpaceDE w:val="0"/>
        <w:autoSpaceDN w:val="0"/>
        <w:adjustRightInd w:val="0"/>
        <w:rPr>
          <w:rFonts w:cs="Arial"/>
        </w:rPr>
      </w:pPr>
    </w:p>
    <w:p w14:paraId="7FB1F0AA" w14:textId="49EE3DE6" w:rsidR="007972B9" w:rsidRDefault="002343ED">
      <w:pPr>
        <w:pStyle w:val="P68B1DB1-Normal8"/>
        <w:autoSpaceDE w:val="0"/>
        <w:autoSpaceDN w:val="0"/>
        <w:adjustRightInd w:val="0"/>
      </w:pPr>
      <w:r>
        <w:t xml:space="preserve">Nadovezujući se na </w:t>
      </w:r>
      <w:r w:rsidRPr="00F429D8">
        <w:t>pravnu stečevinu</w:t>
      </w:r>
      <w:r>
        <w:t xml:space="preserve"> Vijeća Europe i raniji rad Europskog odbora za demokraciju i upravljanje (CDDG), kao i na praktično iskustvo stečeno u provedbi 12 načela dobrog demokratskog upravljanja na lokalnoj razini u okviru Europske oznake izvrsnosti </w:t>
      </w:r>
      <w:r w:rsidR="00F429D8">
        <w:t xml:space="preserve">u </w:t>
      </w:r>
      <w:r>
        <w:t>upravljanj</w:t>
      </w:r>
      <w:r w:rsidR="00F429D8">
        <w:t>u</w:t>
      </w:r>
      <w:r>
        <w:t xml:space="preserve"> od njezina osnutka 2011.;</w:t>
      </w:r>
    </w:p>
    <w:p w14:paraId="53C99032" w14:textId="77777777" w:rsidR="00667B31" w:rsidRDefault="00667B31">
      <w:pPr>
        <w:pStyle w:val="P68B1DB1-Normal8"/>
        <w:autoSpaceDE w:val="0"/>
        <w:autoSpaceDN w:val="0"/>
        <w:adjustRightInd w:val="0"/>
      </w:pPr>
    </w:p>
    <w:p w14:paraId="5BF9374A" w14:textId="6844AADA" w:rsidR="007972B9" w:rsidRDefault="002343ED">
      <w:pPr>
        <w:pStyle w:val="P68B1DB1-Normal8"/>
        <w:tabs>
          <w:tab w:val="left" w:pos="-720"/>
        </w:tabs>
        <w:suppressAutoHyphens/>
        <w:ind w:right="33"/>
      </w:pPr>
      <w:r>
        <w:t xml:space="preserve">Prepoznajući da se dobro demokratsko upravljanje odnosi na sve postupke upravljanja, institucije i prakse kojima se </w:t>
      </w:r>
      <w:r w:rsidR="00667B31" w:rsidRPr="00667B31">
        <w:t>odgovorna vlast</w:t>
      </w:r>
      <w:r w:rsidR="007127BD" w:rsidRPr="00667B31">
        <w:t xml:space="preserve"> </w:t>
      </w:r>
      <w:r w:rsidR="00F429D8">
        <w:t xml:space="preserve">i </w:t>
      </w:r>
      <w:r w:rsidR="007127BD">
        <w:t>dužnost</w:t>
      </w:r>
      <w:r>
        <w:t xml:space="preserve"> </w:t>
      </w:r>
      <w:r w:rsidR="00667B31">
        <w:t>vrše</w:t>
      </w:r>
      <w:r>
        <w:t xml:space="preserve"> na način koji je učinkovit i usmjeren na istinsku demokraciju;</w:t>
      </w:r>
    </w:p>
    <w:p w14:paraId="02CAFAA3" w14:textId="77777777" w:rsidR="007972B9" w:rsidRDefault="007972B9">
      <w:pPr>
        <w:tabs>
          <w:tab w:val="left" w:pos="-720"/>
        </w:tabs>
        <w:suppressAutoHyphens/>
        <w:ind w:right="33"/>
        <w:rPr>
          <w:rFonts w:cs="Arial"/>
        </w:rPr>
      </w:pPr>
    </w:p>
    <w:p w14:paraId="3FFDF025" w14:textId="788270CB" w:rsidR="007972B9" w:rsidRDefault="002343ED">
      <w:pPr>
        <w:pStyle w:val="P68B1DB1-Normal8"/>
        <w:tabs>
          <w:tab w:val="left" w:pos="-720"/>
        </w:tabs>
        <w:suppressAutoHyphens/>
        <w:ind w:right="33"/>
      </w:pPr>
      <w:r>
        <w:lastRenderedPageBreak/>
        <w:t xml:space="preserve">Uzimajući </w:t>
      </w:r>
      <w:r w:rsidR="007127BD">
        <w:t xml:space="preserve">u obzir </w:t>
      </w:r>
      <w:r>
        <w:t>da je došlo vrijeme da se pravn</w:t>
      </w:r>
      <w:r w:rsidR="009412BA">
        <w:t>i</w:t>
      </w:r>
      <w:r>
        <w:t>m instrument</w:t>
      </w:r>
      <w:r w:rsidR="009412BA">
        <w:t>om</w:t>
      </w:r>
      <w:r>
        <w:t xml:space="preserve"> uspostavi skup standarda koji će služiti kao mjerilo za dobro demokratsko upravljanje na svim razinama i kojima se ažurira navedenih 12 načela;</w:t>
      </w:r>
    </w:p>
    <w:p w14:paraId="0BF28660" w14:textId="77777777" w:rsidR="007972B9" w:rsidRDefault="007972B9">
      <w:pPr>
        <w:tabs>
          <w:tab w:val="left" w:pos="-720"/>
        </w:tabs>
        <w:suppressAutoHyphens/>
        <w:ind w:right="33"/>
        <w:rPr>
          <w:rFonts w:cs="Arial"/>
        </w:rPr>
      </w:pPr>
    </w:p>
    <w:p w14:paraId="7219CD90" w14:textId="77777777" w:rsidR="007972B9" w:rsidRDefault="002343ED">
      <w:pPr>
        <w:pStyle w:val="P68B1DB1-Normal8"/>
        <w:tabs>
          <w:tab w:val="left" w:pos="-720"/>
        </w:tabs>
        <w:suppressAutoHyphens/>
        <w:ind w:right="33"/>
      </w:pPr>
      <w:r>
        <w:t xml:space="preserve">Prepoznajući da će ti standardi pomoći donositeljima politika i odluka na svim razinama vlasti u zaštiti i daljnjem razvoju dobrog demokratskog upravljanja za sve te istodobno učiniti zajednice i pojedince svjesnijima onoga što mogu očekivati od onih kojima je povjereno upravljanje javnim poslovima, </w:t>
      </w:r>
    </w:p>
    <w:p w14:paraId="62F01275" w14:textId="77777777" w:rsidR="007972B9" w:rsidRDefault="007972B9">
      <w:pPr>
        <w:tabs>
          <w:tab w:val="left" w:pos="-720"/>
        </w:tabs>
        <w:suppressAutoHyphens/>
        <w:ind w:right="33"/>
        <w:rPr>
          <w:rFonts w:cs="Arial"/>
        </w:rPr>
      </w:pPr>
    </w:p>
    <w:p w14:paraId="2F010A2A" w14:textId="77777777" w:rsidR="007972B9" w:rsidRDefault="002343ED">
      <w:pPr>
        <w:pStyle w:val="P68B1DB1-Normal8"/>
      </w:pPr>
      <w:r>
        <w:t>Preporučuje vladama država članica da:</w:t>
      </w:r>
    </w:p>
    <w:p w14:paraId="55EFCA2B" w14:textId="77777777" w:rsidR="007972B9" w:rsidRDefault="007972B9">
      <w:pPr>
        <w:rPr>
          <w:rFonts w:eastAsiaTheme="minorEastAsia" w:cs="Arial"/>
        </w:rPr>
      </w:pPr>
    </w:p>
    <w:p w14:paraId="6B2BB673" w14:textId="53B48343" w:rsidR="007972B9" w:rsidRDefault="002343ED">
      <w:pPr>
        <w:pStyle w:val="P68B1DB1-ElencoPuntato9"/>
        <w:numPr>
          <w:ilvl w:val="0"/>
          <w:numId w:val="29"/>
        </w:numPr>
        <w:spacing w:after="0" w:line="240" w:lineRule="auto"/>
        <w:jc w:val="left"/>
      </w:pPr>
      <w:r>
        <w:t>prov</w:t>
      </w:r>
      <w:r w:rsidR="00885325">
        <w:t>ode</w:t>
      </w:r>
      <w:r>
        <w:t xml:space="preserve"> vladine mjere u skladu s temelj</w:t>
      </w:r>
      <w:r w:rsidR="00182F02">
        <w:t>nim pravilima</w:t>
      </w:r>
      <w:r w:rsidR="007A4114">
        <w:t xml:space="preserve"> </w:t>
      </w:r>
      <w:r>
        <w:t xml:space="preserve">dobrog demokratskog upravljanja i načelima opisanima u Dodatku ovoj preporuci, koja zajedno obilježavaju svaku djelotvornu demokraciju; to su: </w:t>
      </w:r>
    </w:p>
    <w:p w14:paraId="07034A06" w14:textId="77777777" w:rsidR="007972B9" w:rsidRDefault="007972B9">
      <w:pPr>
        <w:pStyle w:val="ElencoPuntato"/>
        <w:numPr>
          <w:ilvl w:val="0"/>
          <w:numId w:val="0"/>
        </w:numPr>
        <w:spacing w:after="0" w:line="240" w:lineRule="auto"/>
        <w:ind w:left="720"/>
        <w:jc w:val="left"/>
        <w:rPr>
          <w:rFonts w:ascii="Arial" w:hAnsi="Arial" w:cs="Arial"/>
          <w:sz w:val="20"/>
        </w:rPr>
      </w:pPr>
    </w:p>
    <w:p w14:paraId="243B7F8E" w14:textId="5357FC05" w:rsidR="007972B9" w:rsidRDefault="002343ED">
      <w:pPr>
        <w:pStyle w:val="P68B1DB1-ElencoPuntato9"/>
        <w:numPr>
          <w:ilvl w:val="1"/>
          <w:numId w:val="28"/>
        </w:numPr>
        <w:spacing w:after="0" w:line="240" w:lineRule="auto"/>
        <w:jc w:val="left"/>
      </w:pPr>
      <w:r>
        <w:t>poštovanje, zaštit</w:t>
      </w:r>
      <w:r w:rsidR="00885325">
        <w:t>a</w:t>
      </w:r>
      <w:r>
        <w:t xml:space="preserve"> i promicanje demokracije, ljudskih prava i vladavine prava;</w:t>
      </w:r>
    </w:p>
    <w:p w14:paraId="199926FB" w14:textId="6F8BAF0F" w:rsidR="007972B9" w:rsidRDefault="002343ED">
      <w:pPr>
        <w:pStyle w:val="P68B1DB1-ElencoPuntato9"/>
        <w:numPr>
          <w:ilvl w:val="1"/>
          <w:numId w:val="28"/>
        </w:numPr>
        <w:spacing w:after="0" w:line="240" w:lineRule="auto"/>
        <w:jc w:val="left"/>
      </w:pPr>
      <w:r>
        <w:t xml:space="preserve">poštovanje najviših standarda javne etike i integriteta pri izvršavanju ovlasti i javnih </w:t>
      </w:r>
      <w:r w:rsidR="00885325">
        <w:t>dužnosti</w:t>
      </w:r>
      <w:r>
        <w:t>;</w:t>
      </w:r>
    </w:p>
    <w:p w14:paraId="23792E19" w14:textId="77777777" w:rsidR="007972B9" w:rsidRDefault="002343ED">
      <w:pPr>
        <w:pStyle w:val="P68B1DB1-ElencoPuntato9"/>
        <w:numPr>
          <w:ilvl w:val="1"/>
          <w:numId w:val="28"/>
        </w:numPr>
        <w:spacing w:after="0" w:line="240" w:lineRule="auto"/>
        <w:jc w:val="left"/>
      </w:pPr>
      <w:r>
        <w:t>praksa dobre uprave;</w:t>
      </w:r>
    </w:p>
    <w:p w14:paraId="7AEA306C" w14:textId="720D5082" w:rsidR="007972B9" w:rsidRDefault="00885325">
      <w:pPr>
        <w:pStyle w:val="P68B1DB1-ElencoPuntato9"/>
        <w:numPr>
          <w:ilvl w:val="1"/>
          <w:numId w:val="28"/>
        </w:numPr>
        <w:spacing w:after="0" w:line="240" w:lineRule="auto"/>
        <w:jc w:val="left"/>
      </w:pPr>
      <w:r>
        <w:t>osiguravanje</w:t>
      </w:r>
      <w:r w:rsidR="002343ED">
        <w:t xml:space="preserve"> visokokvalitetnih javnih usluga te gospodarske, socijalne i ekološke dobrobiti;</w:t>
      </w:r>
    </w:p>
    <w:p w14:paraId="05509A0C" w14:textId="77777777" w:rsidR="007972B9" w:rsidRDefault="007972B9">
      <w:pPr>
        <w:pStyle w:val="ElencoPuntato"/>
        <w:numPr>
          <w:ilvl w:val="0"/>
          <w:numId w:val="0"/>
        </w:numPr>
        <w:spacing w:after="0" w:line="240" w:lineRule="auto"/>
        <w:ind w:left="1440"/>
        <w:jc w:val="left"/>
        <w:rPr>
          <w:rFonts w:ascii="Arial" w:hAnsi="Arial" w:cs="Arial"/>
          <w:sz w:val="20"/>
        </w:rPr>
      </w:pPr>
    </w:p>
    <w:p w14:paraId="003266C0" w14:textId="43CDDA78" w:rsidR="007972B9" w:rsidRDefault="002343ED">
      <w:pPr>
        <w:pStyle w:val="P68B1DB1-ElencoPuntato9"/>
        <w:numPr>
          <w:ilvl w:val="0"/>
          <w:numId w:val="29"/>
        </w:numPr>
        <w:spacing w:after="0" w:line="240" w:lineRule="auto"/>
        <w:jc w:val="left"/>
      </w:pPr>
      <w:r>
        <w:t>uv</w:t>
      </w:r>
      <w:r w:rsidR="00885325">
        <w:t>edu</w:t>
      </w:r>
      <w:r>
        <w:t xml:space="preserve"> mjere i poduz</w:t>
      </w:r>
      <w:r w:rsidR="00885325">
        <w:t xml:space="preserve">mu </w:t>
      </w:r>
      <w:r>
        <w:t xml:space="preserve">aktivnosti kojima se zahtijeva, omogućuje, podupire ili potiče, prema potrebi i u skladu s ustavnim ili zakonodavnim </w:t>
      </w:r>
      <w:r w:rsidR="006A372B">
        <w:t>poretkom</w:t>
      </w:r>
      <w:r>
        <w:t xml:space="preserve"> države, javne institucije na nacionalnoj, regionalnoj i lokalnoj razini da djeluju u skladu s temelj</w:t>
      </w:r>
      <w:r w:rsidR="007A4114">
        <w:t xml:space="preserve">ima </w:t>
      </w:r>
      <w:r>
        <w:t>dobrog demokratskog upravljanja i načelima opisanima u Dodatku ovoj preporuci;</w:t>
      </w:r>
    </w:p>
    <w:p w14:paraId="289C838E" w14:textId="77777777" w:rsidR="007972B9" w:rsidRDefault="007972B9">
      <w:pPr>
        <w:pStyle w:val="ElencoPuntato"/>
        <w:numPr>
          <w:ilvl w:val="0"/>
          <w:numId w:val="0"/>
        </w:numPr>
        <w:spacing w:after="0" w:line="240" w:lineRule="auto"/>
        <w:ind w:left="720"/>
        <w:jc w:val="left"/>
        <w:rPr>
          <w:rFonts w:ascii="Arial" w:hAnsi="Arial" w:cs="Arial"/>
          <w:sz w:val="20"/>
        </w:rPr>
      </w:pPr>
    </w:p>
    <w:p w14:paraId="176FB415" w14:textId="3CCB442B" w:rsidR="007972B9" w:rsidRDefault="002343ED">
      <w:pPr>
        <w:pStyle w:val="P68B1DB1-ElencoPuntato9"/>
        <w:numPr>
          <w:ilvl w:val="0"/>
          <w:numId w:val="29"/>
        </w:numPr>
        <w:spacing w:after="0" w:line="240" w:lineRule="auto"/>
        <w:jc w:val="left"/>
      </w:pPr>
      <w:r>
        <w:t>preve</w:t>
      </w:r>
      <w:r w:rsidR="00885325">
        <w:t>du</w:t>
      </w:r>
      <w:r>
        <w:t xml:space="preserve"> ovu preporuku na nacionalne jezike i osigura</w:t>
      </w:r>
      <w:r w:rsidR="00885325">
        <w:t>ju</w:t>
      </w:r>
      <w:r>
        <w:t xml:space="preserve"> njezin</w:t>
      </w:r>
      <w:r w:rsidR="00885325">
        <w:t xml:space="preserve">u diseminaciju </w:t>
      </w:r>
      <w:r>
        <w:t>na nacionalnoj, regionalnoj i lokalnoj razini;</w:t>
      </w:r>
    </w:p>
    <w:p w14:paraId="335C5528" w14:textId="77777777" w:rsidR="007972B9" w:rsidRDefault="007972B9">
      <w:pPr>
        <w:pStyle w:val="ElencoPuntato"/>
        <w:numPr>
          <w:ilvl w:val="0"/>
          <w:numId w:val="0"/>
        </w:numPr>
        <w:spacing w:after="0" w:line="240" w:lineRule="auto"/>
        <w:ind w:left="720"/>
        <w:jc w:val="left"/>
        <w:rPr>
          <w:rFonts w:ascii="Arial" w:hAnsi="Arial" w:cs="Arial"/>
          <w:sz w:val="20"/>
        </w:rPr>
      </w:pPr>
    </w:p>
    <w:p w14:paraId="783BBCF7" w14:textId="254DD45E" w:rsidR="007972B9" w:rsidRDefault="00885325">
      <w:pPr>
        <w:pStyle w:val="P68B1DB1-ElencoPuntato9"/>
        <w:numPr>
          <w:ilvl w:val="0"/>
          <w:numId w:val="29"/>
        </w:numPr>
        <w:spacing w:after="0" w:line="240" w:lineRule="auto"/>
        <w:jc w:val="left"/>
      </w:pPr>
      <w:r>
        <w:t>ocjenjuju, prema</w:t>
      </w:r>
      <w:r w:rsidR="002343ED">
        <w:t xml:space="preserve"> potrebi</w:t>
      </w:r>
      <w:r>
        <w:t>,</w:t>
      </w:r>
      <w:r w:rsidR="002343ED">
        <w:t xml:space="preserve"> u kojoj se mjeri ova preporuka provodi.</w:t>
      </w:r>
    </w:p>
    <w:p w14:paraId="26CD3CFA" w14:textId="1F515CDA" w:rsidR="007972B9" w:rsidRDefault="007972B9">
      <w:pPr>
        <w:pStyle w:val="ElencoPuntato"/>
        <w:numPr>
          <w:ilvl w:val="0"/>
          <w:numId w:val="0"/>
        </w:numPr>
        <w:spacing w:after="0" w:line="240" w:lineRule="auto"/>
        <w:ind w:left="720"/>
        <w:jc w:val="left"/>
        <w:rPr>
          <w:rFonts w:ascii="Arial" w:hAnsi="Arial" w:cs="Arial"/>
          <w:sz w:val="20"/>
        </w:rPr>
      </w:pPr>
    </w:p>
    <w:p w14:paraId="0F63E69F" w14:textId="77777777" w:rsidR="007972B9" w:rsidRDefault="007972B9">
      <w:pPr>
        <w:pStyle w:val="ElencoPuntato"/>
        <w:numPr>
          <w:ilvl w:val="0"/>
          <w:numId w:val="0"/>
        </w:numPr>
        <w:spacing w:after="0" w:line="240" w:lineRule="auto"/>
        <w:ind w:left="720"/>
        <w:jc w:val="left"/>
        <w:rPr>
          <w:rFonts w:ascii="Arial" w:hAnsi="Arial" w:cs="Arial"/>
          <w:sz w:val="20"/>
        </w:rPr>
      </w:pPr>
    </w:p>
    <w:p w14:paraId="2EC113C0" w14:textId="087D16C5" w:rsidR="007972B9" w:rsidRDefault="002343ED">
      <w:pPr>
        <w:pStyle w:val="P68B1DB1-Naslov210"/>
        <w:spacing w:before="0" w:line="240" w:lineRule="auto"/>
      </w:pPr>
      <w:r>
        <w:t>Dodatak Preporuci CM/Rec(2023)5</w:t>
      </w:r>
    </w:p>
    <w:p w14:paraId="401F81DE" w14:textId="77777777" w:rsidR="007972B9" w:rsidRDefault="007972B9">
      <w:pPr>
        <w:rPr>
          <w:rFonts w:cs="Arial"/>
          <w:b/>
        </w:rPr>
      </w:pPr>
    </w:p>
    <w:p w14:paraId="13C608AE" w14:textId="77777777" w:rsidR="007972B9" w:rsidRDefault="002343ED">
      <w:pPr>
        <w:pStyle w:val="P68B1DB1-Normal11"/>
      </w:pPr>
      <w:r>
        <w:t>Načela dobrog demokratskog upravljanja</w:t>
      </w:r>
    </w:p>
    <w:p w14:paraId="2F47A552" w14:textId="77777777" w:rsidR="007972B9" w:rsidRDefault="007972B9">
      <w:pPr>
        <w:pStyle w:val="Naslov3"/>
        <w:spacing w:before="0"/>
        <w:rPr>
          <w:rFonts w:ascii="Arial" w:hAnsi="Arial" w:cs="Arial"/>
          <w:color w:val="auto"/>
          <w:sz w:val="20"/>
        </w:rPr>
      </w:pPr>
    </w:p>
    <w:p w14:paraId="6A9E17C6" w14:textId="77777777" w:rsidR="007972B9" w:rsidRDefault="002343ED">
      <w:pPr>
        <w:pStyle w:val="P68B1DB1-Naslov312"/>
        <w:spacing w:before="0"/>
      </w:pPr>
      <w:r>
        <w:t>1. Definicije</w:t>
      </w:r>
    </w:p>
    <w:p w14:paraId="4E02F0BA" w14:textId="77777777" w:rsidR="007972B9" w:rsidRDefault="007972B9">
      <w:pPr>
        <w:rPr>
          <w:rFonts w:cs="Arial"/>
        </w:rPr>
      </w:pPr>
    </w:p>
    <w:p w14:paraId="61D9FBB1" w14:textId="6EC5C300" w:rsidR="007972B9" w:rsidRDefault="002343ED">
      <w:pPr>
        <w:pStyle w:val="P68B1DB1-Normal8"/>
      </w:pPr>
      <w:r>
        <w:t xml:space="preserve">Za potrebe ove preporuke i njezina dodatka pojmovi su definirani kako slijedi. </w:t>
      </w:r>
    </w:p>
    <w:p w14:paraId="2C1B897D" w14:textId="77777777" w:rsidR="007972B9" w:rsidRDefault="007972B9">
      <w:pPr>
        <w:rPr>
          <w:rFonts w:cs="Arial"/>
        </w:rPr>
      </w:pPr>
    </w:p>
    <w:p w14:paraId="02999344" w14:textId="21E03B09" w:rsidR="007972B9" w:rsidRDefault="002343ED">
      <w:pPr>
        <w:pStyle w:val="P68B1DB1-Normal8"/>
      </w:pPr>
      <w:r>
        <w:t>„Vladin</w:t>
      </w:r>
      <w:r w:rsidR="00012F29">
        <w:t>e mjere</w:t>
      </w:r>
      <w:r>
        <w:t>” znači svako djelovanje vlad</w:t>
      </w:r>
      <w:r w:rsidR="003F0D59">
        <w:t>e</w:t>
      </w:r>
      <w:r>
        <w:t xml:space="preserve"> države članice</w:t>
      </w:r>
      <w:r w:rsidR="003F0D59">
        <w:t>, a</w:t>
      </w:r>
      <w:r>
        <w:t xml:space="preserve"> uključuje:</w:t>
      </w:r>
    </w:p>
    <w:p w14:paraId="58B342A3" w14:textId="3D0A9B47" w:rsidR="007972B9" w:rsidRDefault="0065702B">
      <w:pPr>
        <w:pStyle w:val="P68B1DB1-ElencoPuntato9"/>
        <w:numPr>
          <w:ilvl w:val="0"/>
          <w:numId w:val="30"/>
        </w:numPr>
        <w:spacing w:after="0" w:line="240" w:lineRule="auto"/>
        <w:jc w:val="left"/>
      </w:pPr>
      <w:r>
        <w:t>funkcioniranje</w:t>
      </w:r>
      <w:r w:rsidR="002343ED">
        <w:t xml:space="preserve"> ustavn</w:t>
      </w:r>
      <w:r>
        <w:t xml:space="preserve">og </w:t>
      </w:r>
      <w:r w:rsidR="006A372B">
        <w:t>poretka</w:t>
      </w:r>
      <w:r>
        <w:t xml:space="preserve"> </w:t>
      </w:r>
      <w:r w:rsidR="002343ED">
        <w:t>države i sve prijedloge</w:t>
      </w:r>
      <w:r>
        <w:t xml:space="preserve"> za</w:t>
      </w:r>
      <w:r w:rsidR="002343ED">
        <w:t xml:space="preserve"> </w:t>
      </w:r>
      <w:r>
        <w:t>izmjene i dopune istoga</w:t>
      </w:r>
      <w:r w:rsidR="002343ED">
        <w:t xml:space="preserve">; </w:t>
      </w:r>
    </w:p>
    <w:p w14:paraId="70104420" w14:textId="77777777" w:rsidR="007972B9" w:rsidRDefault="002343ED">
      <w:pPr>
        <w:pStyle w:val="P68B1DB1-ElencoPuntato9"/>
        <w:numPr>
          <w:ilvl w:val="0"/>
          <w:numId w:val="30"/>
        </w:numPr>
        <w:spacing w:after="0" w:line="240" w:lineRule="auto"/>
        <w:jc w:val="left"/>
      </w:pPr>
      <w:r>
        <w:t xml:space="preserve">uvođenje zakonodavstva; </w:t>
      </w:r>
    </w:p>
    <w:p w14:paraId="3B127976" w14:textId="53C1B3F7" w:rsidR="007972B9" w:rsidRDefault="0065702B">
      <w:pPr>
        <w:pStyle w:val="P68B1DB1-ElencoPuntato9"/>
        <w:numPr>
          <w:ilvl w:val="0"/>
          <w:numId w:val="30"/>
        </w:numPr>
        <w:spacing w:after="0" w:line="240" w:lineRule="auto"/>
        <w:jc w:val="left"/>
      </w:pPr>
      <w:r>
        <w:t>održavanje</w:t>
      </w:r>
      <w:r w:rsidR="002343ED">
        <w:t xml:space="preserve"> međunarodnih odnosa i provedbu obvezujućih međunarodnih obveza;</w:t>
      </w:r>
    </w:p>
    <w:p w14:paraId="4ECA64D4" w14:textId="77777777" w:rsidR="007972B9" w:rsidRDefault="002343ED">
      <w:pPr>
        <w:pStyle w:val="P68B1DB1-ElencoPuntato9"/>
        <w:numPr>
          <w:ilvl w:val="0"/>
          <w:numId w:val="30"/>
        </w:numPr>
        <w:spacing w:after="0" w:line="240" w:lineRule="auto"/>
        <w:jc w:val="left"/>
      </w:pPr>
      <w:r>
        <w:t xml:space="preserve">oblikovanje i donošenje javnih politika; </w:t>
      </w:r>
    </w:p>
    <w:p w14:paraId="458B055D" w14:textId="7D219272" w:rsidR="007972B9" w:rsidRDefault="002343ED">
      <w:pPr>
        <w:pStyle w:val="P68B1DB1-ElencoPuntato9"/>
        <w:numPr>
          <w:ilvl w:val="0"/>
          <w:numId w:val="30"/>
        </w:numPr>
        <w:spacing w:after="0" w:line="240" w:lineRule="auto"/>
        <w:jc w:val="left"/>
        <w:rPr>
          <w:i/>
        </w:rPr>
      </w:pPr>
      <w:r>
        <w:t>uspostav</w:t>
      </w:r>
      <w:r w:rsidR="0065702B">
        <w:t>u</w:t>
      </w:r>
      <w:r>
        <w:t xml:space="preserve"> i </w:t>
      </w:r>
      <w:r w:rsidR="0065702B">
        <w:t>provedbu</w:t>
      </w:r>
      <w:r>
        <w:t xml:space="preserve"> režima i propisa za promicanje i zaštitu gospodarske, socijalne i ekološke dobrobiti svih; i </w:t>
      </w:r>
    </w:p>
    <w:p w14:paraId="01598D4B" w14:textId="77777777" w:rsidR="007972B9" w:rsidRDefault="002343ED">
      <w:pPr>
        <w:pStyle w:val="P68B1DB1-ElencoPuntato9"/>
        <w:numPr>
          <w:ilvl w:val="0"/>
          <w:numId w:val="30"/>
        </w:numPr>
        <w:spacing w:after="0" w:line="240" w:lineRule="auto"/>
        <w:jc w:val="left"/>
        <w:rPr>
          <w:i/>
        </w:rPr>
      </w:pPr>
      <w:r>
        <w:t xml:space="preserve">uvođenje i pružanje javnih usluga. </w:t>
      </w:r>
    </w:p>
    <w:p w14:paraId="638E14D1" w14:textId="77777777" w:rsidR="007972B9" w:rsidRDefault="007972B9">
      <w:pPr>
        <w:pStyle w:val="ElencoPuntato"/>
        <w:numPr>
          <w:ilvl w:val="0"/>
          <w:numId w:val="0"/>
        </w:numPr>
        <w:spacing w:after="0" w:line="240" w:lineRule="auto"/>
        <w:jc w:val="left"/>
        <w:rPr>
          <w:rFonts w:ascii="Arial" w:hAnsi="Arial" w:cs="Arial"/>
          <w:sz w:val="20"/>
        </w:rPr>
      </w:pPr>
    </w:p>
    <w:p w14:paraId="5CC173F6" w14:textId="75448DAD" w:rsidR="007972B9" w:rsidRDefault="002343ED">
      <w:pPr>
        <w:pStyle w:val="P68B1DB1-ElencoPuntato9"/>
        <w:numPr>
          <w:ilvl w:val="0"/>
          <w:numId w:val="0"/>
        </w:numPr>
        <w:spacing w:after="0" w:line="240" w:lineRule="auto"/>
        <w:jc w:val="left"/>
      </w:pPr>
      <w:r>
        <w:t>Pojam „javne institucije” uključuje svako tijelo, organizaciju ili ured, osim vlade države članice, koji ima javne ili državne funkcije, kao što su regionalne vla</w:t>
      </w:r>
      <w:r w:rsidR="006A372B">
        <w:t>sti</w:t>
      </w:r>
      <w:r>
        <w:t>, njihov</w:t>
      </w:r>
      <w:r w:rsidR="006A372B">
        <w:t>a</w:t>
      </w:r>
      <w:r>
        <w:t xml:space="preserve"> izvršn</w:t>
      </w:r>
      <w:r w:rsidR="006A372B">
        <w:t xml:space="preserve">a tijela </w:t>
      </w:r>
      <w:r>
        <w:t>i zakonodavna tijela ili skupštine; lokalne vlasti, njihov</w:t>
      </w:r>
      <w:r w:rsidR="006A372B">
        <w:t>a</w:t>
      </w:r>
      <w:r>
        <w:t xml:space="preserve"> izvršn</w:t>
      </w:r>
      <w:r w:rsidR="006A372B">
        <w:t>a</w:t>
      </w:r>
      <w:r>
        <w:t xml:space="preserve"> </w:t>
      </w:r>
      <w:r w:rsidR="006A372B">
        <w:t>tijela</w:t>
      </w:r>
      <w:r>
        <w:t xml:space="preserve"> i skupštine; i svak</w:t>
      </w:r>
      <w:r w:rsidR="006A372B">
        <w:t>u</w:t>
      </w:r>
      <w:r>
        <w:t xml:space="preserve"> agencij</w:t>
      </w:r>
      <w:r w:rsidR="006A372B">
        <w:t>u</w:t>
      </w:r>
      <w:r>
        <w:t xml:space="preserve">, </w:t>
      </w:r>
      <w:r w:rsidR="006A372B">
        <w:t>trgovačko društvo</w:t>
      </w:r>
      <w:r>
        <w:t xml:space="preserve"> ili sličan subjekt nad kojim nacionalne, regionalne ili lokalne vlasti imaju stvarnu kontrolu ili odlučujući utjecaj.</w:t>
      </w:r>
    </w:p>
    <w:p w14:paraId="048A881A" w14:textId="77777777" w:rsidR="007972B9" w:rsidRDefault="007972B9">
      <w:pPr>
        <w:rPr>
          <w:rFonts w:cs="Arial"/>
        </w:rPr>
      </w:pPr>
    </w:p>
    <w:p w14:paraId="6EB66C0B" w14:textId="77777777" w:rsidR="007972B9" w:rsidRDefault="002343ED">
      <w:pPr>
        <w:pStyle w:val="P68B1DB1-Normal8"/>
      </w:pPr>
      <w:r>
        <w:br w:type="page"/>
      </w:r>
    </w:p>
    <w:p w14:paraId="5193F7DB" w14:textId="31099D62" w:rsidR="007972B9" w:rsidRDefault="002343ED">
      <w:pPr>
        <w:pStyle w:val="P68B1DB1-Normal8"/>
      </w:pPr>
      <w:r>
        <w:lastRenderedPageBreak/>
        <w:t xml:space="preserve">Pojam „javni </w:t>
      </w:r>
      <w:r w:rsidR="006A372B">
        <w:t>službenik</w:t>
      </w:r>
      <w:r>
        <w:t>” uključuje:</w:t>
      </w:r>
    </w:p>
    <w:p w14:paraId="34985F0E" w14:textId="77777777" w:rsidR="007972B9" w:rsidRDefault="007972B9">
      <w:pPr>
        <w:rPr>
          <w:rFonts w:cs="Arial"/>
          <w:b/>
        </w:rPr>
      </w:pPr>
    </w:p>
    <w:p w14:paraId="54837566" w14:textId="36694354" w:rsidR="007972B9" w:rsidRDefault="002343ED">
      <w:pPr>
        <w:pStyle w:val="P68B1DB1-Naslov313"/>
        <w:numPr>
          <w:ilvl w:val="1"/>
          <w:numId w:val="27"/>
        </w:numPr>
        <w:spacing w:before="0"/>
        <w:ind w:left="567" w:hanging="283"/>
        <w:rPr>
          <w:b/>
        </w:rPr>
      </w:pPr>
      <w:r>
        <w:t xml:space="preserve">osobe koje su izabrane ili dobile javni mandat ili funkciju, kao što su članovi nacionalnih i regionalnih vlada, članovi nacionalnih i regionalnih zakonodavnih tijela, članovi lokalnih izvršnih tijela i izabrani </w:t>
      </w:r>
      <w:r w:rsidR="00116AE9">
        <w:t xml:space="preserve">lokalni </w:t>
      </w:r>
      <w:r>
        <w:t xml:space="preserve">predstavnici, kao i nositelji </w:t>
      </w:r>
      <w:r w:rsidR="00116AE9">
        <w:t>pravosudne</w:t>
      </w:r>
      <w:r>
        <w:t xml:space="preserve"> dužnosti;</w:t>
      </w:r>
    </w:p>
    <w:p w14:paraId="523BB7AD" w14:textId="60799247" w:rsidR="007972B9" w:rsidRDefault="002343ED">
      <w:pPr>
        <w:pStyle w:val="P68B1DB1-Naslov313"/>
        <w:numPr>
          <w:ilvl w:val="1"/>
          <w:numId w:val="27"/>
        </w:numPr>
        <w:spacing w:before="0"/>
        <w:ind w:left="567" w:hanging="283"/>
        <w:rPr>
          <w:b/>
        </w:rPr>
      </w:pPr>
      <w:r>
        <w:t xml:space="preserve">osobe koje su zaposlene u javnoj </w:t>
      </w:r>
      <w:r w:rsidR="00116AE9">
        <w:t>institucij</w:t>
      </w:r>
      <w:r>
        <w:t>i kako je gore definiran</w:t>
      </w:r>
      <w:r w:rsidR="00116AE9">
        <w:t>a</w:t>
      </w:r>
      <w:r>
        <w:t>;</w:t>
      </w:r>
    </w:p>
    <w:p w14:paraId="580237B8" w14:textId="251B56FD" w:rsidR="007972B9" w:rsidRDefault="002343ED">
      <w:pPr>
        <w:pStyle w:val="P68B1DB1-Naslov313"/>
        <w:numPr>
          <w:ilvl w:val="1"/>
          <w:numId w:val="27"/>
        </w:numPr>
        <w:spacing w:before="0"/>
        <w:ind w:left="567" w:hanging="283"/>
        <w:rPr>
          <w:b/>
        </w:rPr>
      </w:pPr>
      <w:r>
        <w:t xml:space="preserve">osobe koje djeluju u ime javne </w:t>
      </w:r>
      <w:r w:rsidR="00116AE9">
        <w:t>institucije</w:t>
      </w:r>
      <w:r>
        <w:t xml:space="preserve">, a da nisu izabrane, nemaju javni mandat ili </w:t>
      </w:r>
      <w:r w:rsidR="00667B31">
        <w:t>položaj</w:t>
      </w:r>
      <w:r>
        <w:t xml:space="preserve"> ili koje su zaposlene u javnoj </w:t>
      </w:r>
      <w:r w:rsidR="00116AE9">
        <w:t>instituciji</w:t>
      </w:r>
      <w:r>
        <w:t xml:space="preserve"> ili vladi države članice.</w:t>
      </w:r>
    </w:p>
    <w:p w14:paraId="68207FCF" w14:textId="77777777" w:rsidR="007972B9" w:rsidRDefault="007972B9">
      <w:pPr>
        <w:pStyle w:val="Naslov3"/>
        <w:spacing w:before="0"/>
        <w:rPr>
          <w:rFonts w:ascii="Arial" w:hAnsi="Arial" w:cs="Arial"/>
          <w:b/>
          <w:color w:val="auto"/>
          <w:sz w:val="20"/>
        </w:rPr>
      </w:pPr>
    </w:p>
    <w:p w14:paraId="41D40C9A" w14:textId="77777777" w:rsidR="007972B9" w:rsidRDefault="002343ED">
      <w:pPr>
        <w:pStyle w:val="P68B1DB1-Normal11"/>
      </w:pPr>
      <w:r>
        <w:t>2. Načela</w:t>
      </w:r>
    </w:p>
    <w:p w14:paraId="7EF45911" w14:textId="77777777" w:rsidR="007972B9" w:rsidRDefault="007972B9">
      <w:pPr>
        <w:rPr>
          <w:rFonts w:cs="Arial"/>
          <w:b/>
        </w:rPr>
      </w:pPr>
    </w:p>
    <w:p w14:paraId="7F09DB4E" w14:textId="77777777" w:rsidR="007972B9" w:rsidRDefault="002343ED">
      <w:pPr>
        <w:pStyle w:val="P68B1DB1-Normal11"/>
      </w:pPr>
      <w:r>
        <w:t>Poštovanje, zaštita i promicanje demokracije, ljudskih prava i vladavine prava</w:t>
      </w:r>
    </w:p>
    <w:p w14:paraId="382F4289" w14:textId="77777777" w:rsidR="007972B9" w:rsidRDefault="007972B9">
      <w:pPr>
        <w:rPr>
          <w:rFonts w:cs="Arial"/>
          <w:i/>
        </w:rPr>
      </w:pPr>
    </w:p>
    <w:p w14:paraId="08185DB6" w14:textId="70686600" w:rsidR="007972B9" w:rsidRDefault="002343ED">
      <w:pPr>
        <w:pStyle w:val="P68B1DB1-Normal14"/>
      </w:pPr>
      <w:r>
        <w:t xml:space="preserve">Načelo 1. – </w:t>
      </w:r>
      <w:r w:rsidR="00116AE9">
        <w:t>Demokratsko s</w:t>
      </w:r>
      <w:r>
        <w:t xml:space="preserve">udjelovanje </w:t>
      </w:r>
    </w:p>
    <w:p w14:paraId="29CFBDB9" w14:textId="77777777" w:rsidR="007972B9" w:rsidRDefault="007972B9">
      <w:pPr>
        <w:rPr>
          <w:rFonts w:cs="Arial"/>
        </w:rPr>
      </w:pPr>
    </w:p>
    <w:p w14:paraId="21AE3B4D" w14:textId="2D77ABD1" w:rsidR="007972B9" w:rsidRDefault="00116AE9">
      <w:pPr>
        <w:pStyle w:val="P68B1DB1-Normal8"/>
        <w:rPr>
          <w:strike/>
        </w:rPr>
      </w:pPr>
      <w:r>
        <w:t>Demokratsko sudjelovanje treba</w:t>
      </w:r>
      <w:r w:rsidR="002343ED">
        <w:t xml:space="preserve"> biti učinkovito i uključivo, </w:t>
      </w:r>
      <w:r>
        <w:t>što uključuje</w:t>
      </w:r>
      <w:r w:rsidR="002343ED">
        <w:t xml:space="preserve"> redovite, slobodne i poštene izbore za zakonodavna tijela, skupštine i druge javne institucije, zajedno s</w:t>
      </w:r>
      <w:r>
        <w:t>a</w:t>
      </w:r>
      <w:r w:rsidR="002343ED">
        <w:t xml:space="preserve"> smislen</w:t>
      </w:r>
      <w:r>
        <w:t>o</w:t>
      </w:r>
      <w:r w:rsidR="002343ED">
        <w:t xml:space="preserve">m </w:t>
      </w:r>
      <w:r>
        <w:t>suradnjom</w:t>
      </w:r>
      <w:r w:rsidR="002343ED">
        <w:t xml:space="preserve"> vlade i javnih institucija s onima kojima služe. </w:t>
      </w:r>
    </w:p>
    <w:p w14:paraId="3425AB53" w14:textId="77777777" w:rsidR="007972B9" w:rsidRDefault="007972B9">
      <w:pPr>
        <w:rPr>
          <w:rFonts w:cs="Arial"/>
          <w:i/>
        </w:rPr>
      </w:pPr>
    </w:p>
    <w:p w14:paraId="242A6B64" w14:textId="77777777" w:rsidR="007972B9" w:rsidRDefault="002343ED">
      <w:pPr>
        <w:pStyle w:val="P68B1DB1-Normal14"/>
        <w:rPr>
          <w:u w:val="single"/>
        </w:rPr>
      </w:pPr>
      <w:r>
        <w:t xml:space="preserve">Načelo 2 – Ljudska prava </w:t>
      </w:r>
    </w:p>
    <w:p w14:paraId="0A66A5CF" w14:textId="77777777" w:rsidR="007972B9" w:rsidRDefault="007972B9">
      <w:pPr>
        <w:rPr>
          <w:rFonts w:cs="Arial"/>
        </w:rPr>
      </w:pPr>
    </w:p>
    <w:p w14:paraId="1EF3BECF" w14:textId="28E0819B" w:rsidR="007972B9" w:rsidRDefault="00DE6355">
      <w:pPr>
        <w:pStyle w:val="P68B1DB1-Normal8"/>
        <w:rPr>
          <w:i/>
        </w:rPr>
      </w:pPr>
      <w:r>
        <w:t>Potrebno je</w:t>
      </w:r>
      <w:r w:rsidR="002343ED">
        <w:t xml:space="preserve"> osigurati poštovanje ljudskih prava koja štite sve i koja utjelovljuju vrijednosti pravednosti, dostojanstva, jednakosti i poštovanja, u skladu s europskim i međunarodnim standardima, uključujući Statut Vijeća Europe (ETS br. 1) i Europsku konvenciju o ljudskim pravima (ETS br. 5).</w:t>
      </w:r>
      <w:r w:rsidR="002343ED">
        <w:rPr>
          <w:i/>
        </w:rPr>
        <w:t xml:space="preserve"> </w:t>
      </w:r>
    </w:p>
    <w:p w14:paraId="07EBBF0E" w14:textId="77777777" w:rsidR="007972B9" w:rsidRDefault="007972B9">
      <w:pPr>
        <w:rPr>
          <w:rFonts w:cs="Arial"/>
          <w:i/>
        </w:rPr>
      </w:pPr>
    </w:p>
    <w:p w14:paraId="7A0D23DF" w14:textId="40BCD95A" w:rsidR="007972B9" w:rsidRDefault="002343ED">
      <w:pPr>
        <w:pStyle w:val="P68B1DB1-Normal14"/>
      </w:pPr>
      <w:r>
        <w:t xml:space="preserve">Načelo 3. – </w:t>
      </w:r>
      <w:r w:rsidR="00116AE9">
        <w:t>V</w:t>
      </w:r>
      <w:r>
        <w:t xml:space="preserve">ladavina prava </w:t>
      </w:r>
    </w:p>
    <w:p w14:paraId="65260D28" w14:textId="77777777" w:rsidR="007972B9" w:rsidRDefault="007972B9">
      <w:pPr>
        <w:rPr>
          <w:rFonts w:cs="Arial"/>
        </w:rPr>
      </w:pPr>
    </w:p>
    <w:p w14:paraId="7FD3AE24" w14:textId="47A8E10D" w:rsidR="007972B9" w:rsidRDefault="00DE6355">
      <w:pPr>
        <w:pStyle w:val="P68B1DB1-Normal8"/>
      </w:pPr>
      <w:r>
        <w:t>Potrebno je</w:t>
      </w:r>
      <w:r w:rsidR="002343ED">
        <w:t xml:space="preserve"> poštovati vladavinu prava, čime </w:t>
      </w:r>
      <w:r>
        <w:t>se</w:t>
      </w:r>
      <w:r w:rsidR="002343ED">
        <w:t xml:space="preserve"> </w:t>
      </w:r>
      <w:r>
        <w:t>s</w:t>
      </w:r>
      <w:r w:rsidR="002343ED">
        <w:t>vima pruž</w:t>
      </w:r>
      <w:r>
        <w:t>a</w:t>
      </w:r>
      <w:r w:rsidR="002343ED">
        <w:t xml:space="preserve"> pravna sigurnost, uključujući predvidljivo pravo, </w:t>
      </w:r>
      <w:r>
        <w:t>gdje</w:t>
      </w:r>
      <w:r w:rsidR="002343ED">
        <w:t xml:space="preserve"> se prema svima postupa dostojanstveno, jednako, racionalno i proporcionalno, unutar okvira u kojem su dioba vlasti i neovisnost pravosuđa zajamčene u cijeloj zemlji.</w:t>
      </w:r>
    </w:p>
    <w:p w14:paraId="76CC8985" w14:textId="77777777" w:rsidR="007972B9" w:rsidRDefault="007972B9">
      <w:pPr>
        <w:rPr>
          <w:rFonts w:cs="Arial"/>
          <w:b/>
        </w:rPr>
      </w:pPr>
    </w:p>
    <w:p w14:paraId="56AC5822" w14:textId="7EC6F6E7" w:rsidR="007972B9" w:rsidRDefault="002343ED">
      <w:pPr>
        <w:pStyle w:val="P68B1DB1-Normal11"/>
      </w:pPr>
      <w:r>
        <w:t xml:space="preserve">Poštivanje najviših standarda javne etike i integriteta </w:t>
      </w:r>
      <w:r w:rsidR="00DE6355">
        <w:t>pri</w:t>
      </w:r>
      <w:r>
        <w:t xml:space="preserve"> izvršavanju ovlasti i javnih </w:t>
      </w:r>
      <w:r w:rsidR="00DE6355">
        <w:t>dužnosti</w:t>
      </w:r>
    </w:p>
    <w:p w14:paraId="2CBDF79B" w14:textId="77777777" w:rsidR="007972B9" w:rsidRDefault="007972B9">
      <w:pPr>
        <w:rPr>
          <w:rFonts w:cs="Arial"/>
          <w:i/>
        </w:rPr>
      </w:pPr>
    </w:p>
    <w:p w14:paraId="0ED0B454" w14:textId="77777777" w:rsidR="007972B9" w:rsidRDefault="002343ED">
      <w:pPr>
        <w:pStyle w:val="P68B1DB1-Normal14"/>
      </w:pPr>
      <w:r>
        <w:t>Načelo 4. – Javna etika</w:t>
      </w:r>
    </w:p>
    <w:p w14:paraId="77A2A4C6" w14:textId="77777777" w:rsidR="007972B9" w:rsidRDefault="007972B9">
      <w:pPr>
        <w:rPr>
          <w:rFonts w:cs="Arial"/>
        </w:rPr>
      </w:pPr>
    </w:p>
    <w:p w14:paraId="35982ADA" w14:textId="1917A15B" w:rsidR="007972B9" w:rsidRDefault="00DE6355">
      <w:pPr>
        <w:pStyle w:val="P68B1DB1-Normal8"/>
      </w:pPr>
      <w:r>
        <w:t>Potrebno je</w:t>
      </w:r>
      <w:r w:rsidR="002343ED">
        <w:t xml:space="preserve"> strogo poštovati najviše standarde javne etike, omogućujući svima da imaju povjerenja da vlada, javne institucije i javni službenici služe javnom dobru. </w:t>
      </w:r>
    </w:p>
    <w:p w14:paraId="29B0CED4" w14:textId="77777777" w:rsidR="007972B9" w:rsidRDefault="007972B9">
      <w:pPr>
        <w:rPr>
          <w:rFonts w:cs="Arial"/>
          <w:u w:val="single"/>
        </w:rPr>
      </w:pPr>
    </w:p>
    <w:p w14:paraId="7EFB687D" w14:textId="77777777" w:rsidR="007972B9" w:rsidRDefault="002343ED">
      <w:pPr>
        <w:pStyle w:val="P68B1DB1-Normal14"/>
      </w:pPr>
      <w:r>
        <w:t>Načelo 5. – Odgovornost</w:t>
      </w:r>
    </w:p>
    <w:p w14:paraId="0DE47C93" w14:textId="77777777" w:rsidR="007972B9" w:rsidRDefault="007972B9">
      <w:pPr>
        <w:rPr>
          <w:rFonts w:cs="Arial"/>
          <w:i/>
        </w:rPr>
      </w:pPr>
    </w:p>
    <w:p w14:paraId="118BBBF1" w14:textId="327C68AF" w:rsidR="007972B9" w:rsidRDefault="00DE6355">
      <w:pPr>
        <w:pStyle w:val="P68B1DB1-Normal8"/>
      </w:pPr>
      <w:r>
        <w:t>Potrebno je</w:t>
      </w:r>
      <w:r w:rsidR="002343ED">
        <w:t xml:space="preserve"> uspostaviti mehanizme odgovornosti kako bi se osiguralo da vlade, javne institucije i javni službenici preuz</w:t>
      </w:r>
      <w:r>
        <w:t>imaju</w:t>
      </w:r>
      <w:r w:rsidR="002343ED">
        <w:t xml:space="preserve"> odgovornost za svoje postupke i odluke </w:t>
      </w:r>
      <w:r>
        <w:t>i</w:t>
      </w:r>
      <w:r w:rsidR="002343ED">
        <w:t xml:space="preserve"> da</w:t>
      </w:r>
      <w:r>
        <w:t xml:space="preserve"> </w:t>
      </w:r>
      <w:r w:rsidR="009A3332">
        <w:t>mogu snositi</w:t>
      </w:r>
      <w:r>
        <w:t xml:space="preserve"> odgovornost</w:t>
      </w:r>
      <w:r w:rsidR="009A3332">
        <w:t>,</w:t>
      </w:r>
      <w:r w:rsidR="002343ED">
        <w:t xml:space="preserve"> te da prihvate sve posljedice ili razmjerne sankcije za nepri</w:t>
      </w:r>
      <w:r w:rsidR="009A3332">
        <w:t>mjerene</w:t>
      </w:r>
      <w:r w:rsidR="002343ED">
        <w:t xml:space="preserve"> odluke ili propuste. </w:t>
      </w:r>
    </w:p>
    <w:p w14:paraId="38B5CA4B" w14:textId="77777777" w:rsidR="007972B9" w:rsidRDefault="007972B9">
      <w:pPr>
        <w:rPr>
          <w:rFonts w:cs="Arial"/>
          <w:i/>
        </w:rPr>
      </w:pPr>
    </w:p>
    <w:p w14:paraId="311E6C80" w14:textId="5CEB664A" w:rsidR="007972B9" w:rsidRDefault="002343ED">
      <w:pPr>
        <w:pStyle w:val="P68B1DB1-Normal14"/>
      </w:pPr>
      <w:r>
        <w:t xml:space="preserve">Načelo 6. – </w:t>
      </w:r>
      <w:r w:rsidR="00116AE9">
        <w:t>O</w:t>
      </w:r>
      <w:r>
        <w:t>tvorenost i transparentnost</w:t>
      </w:r>
    </w:p>
    <w:p w14:paraId="77352863" w14:textId="77777777" w:rsidR="007972B9" w:rsidRDefault="007972B9">
      <w:pPr>
        <w:rPr>
          <w:rFonts w:cs="Arial"/>
        </w:rPr>
      </w:pPr>
    </w:p>
    <w:p w14:paraId="4D5B5F84" w14:textId="2A5650E2" w:rsidR="007972B9" w:rsidRDefault="009A3332">
      <w:pPr>
        <w:pStyle w:val="P68B1DB1-Normal8"/>
      </w:pPr>
      <w:r>
        <w:t>Potrebno je</w:t>
      </w:r>
      <w:r w:rsidR="002343ED">
        <w:t xml:space="preserve"> osigurati otvorenost i transparentnost tako da postupci donošenja odluka vlada, javnih institucija i javnih </w:t>
      </w:r>
      <w:r>
        <w:t>službenika</w:t>
      </w:r>
      <w:r w:rsidR="002343ED">
        <w:t xml:space="preserve"> budu javno dostupni i </w:t>
      </w:r>
      <w:r>
        <w:t>pristupačni, –</w:t>
      </w:r>
      <w:r w:rsidR="002343ED">
        <w:t xml:space="preserve"> podložno ograničenjima utvrđenima zakonom, </w:t>
      </w:r>
      <w:r>
        <w:t xml:space="preserve">koja su </w:t>
      </w:r>
      <w:r w:rsidR="002343ED">
        <w:t>nužn</w:t>
      </w:r>
      <w:r>
        <w:t>a</w:t>
      </w:r>
      <w:r w:rsidR="002343ED">
        <w:t xml:space="preserve"> u </w:t>
      </w:r>
      <w:r>
        <w:t>demokratskom društvu i razmjern</w:t>
      </w:r>
      <w:r w:rsidR="002343ED">
        <w:t xml:space="preserve">a ciljevima koja se </w:t>
      </w:r>
      <w:r>
        <w:t xml:space="preserve">takvim ograničenjima </w:t>
      </w:r>
      <w:r w:rsidR="002343ED">
        <w:t>nastoje zaštititi</w:t>
      </w:r>
      <w:r>
        <w:t xml:space="preserve"> –</w:t>
      </w:r>
      <w:r w:rsidR="002343ED">
        <w:t xml:space="preserve"> među ostalim</w:t>
      </w:r>
      <w:r>
        <w:t>,</w:t>
      </w:r>
      <w:r w:rsidR="002343ED">
        <w:t xml:space="preserve"> </w:t>
      </w:r>
      <w:r>
        <w:t>korištenjem</w:t>
      </w:r>
      <w:r w:rsidRPr="009A3332">
        <w:t xml:space="preserve"> </w:t>
      </w:r>
      <w:r>
        <w:t>modernih digitalnih alata</w:t>
      </w:r>
      <w:r w:rsidR="002343ED">
        <w:t xml:space="preserve"> prema potrebi. </w:t>
      </w:r>
    </w:p>
    <w:p w14:paraId="456C270A" w14:textId="77777777" w:rsidR="007972B9" w:rsidRDefault="007972B9">
      <w:pPr>
        <w:rPr>
          <w:rFonts w:cs="Arial"/>
          <w:b/>
        </w:rPr>
      </w:pPr>
    </w:p>
    <w:p w14:paraId="61228D89" w14:textId="77777777" w:rsidR="007972B9" w:rsidRDefault="002343ED">
      <w:pPr>
        <w:pStyle w:val="P68B1DB1-Normal11"/>
      </w:pPr>
      <w:r>
        <w:t>Praksa dobre uprave</w:t>
      </w:r>
    </w:p>
    <w:p w14:paraId="059CB7FC" w14:textId="77777777" w:rsidR="007972B9" w:rsidRDefault="007972B9">
      <w:pPr>
        <w:rPr>
          <w:rFonts w:cs="Arial"/>
          <w:i/>
        </w:rPr>
      </w:pPr>
    </w:p>
    <w:p w14:paraId="684AF1A5" w14:textId="5C0780C9" w:rsidR="007972B9" w:rsidRDefault="002343ED">
      <w:pPr>
        <w:pStyle w:val="P68B1DB1-Normal14"/>
      </w:pPr>
      <w:r>
        <w:t xml:space="preserve">Načelo 7. – Učinkovito, </w:t>
      </w:r>
      <w:r w:rsidR="00A04E84">
        <w:t>djelotvorno</w:t>
      </w:r>
      <w:r>
        <w:t xml:space="preserve"> i dobro upravljanje</w:t>
      </w:r>
    </w:p>
    <w:p w14:paraId="1E254280" w14:textId="77777777" w:rsidR="007972B9" w:rsidRDefault="007972B9">
      <w:pPr>
        <w:rPr>
          <w:rFonts w:cs="Arial"/>
        </w:rPr>
      </w:pPr>
    </w:p>
    <w:p w14:paraId="1674F022" w14:textId="084A503F" w:rsidR="007972B9" w:rsidRDefault="002343ED">
      <w:pPr>
        <w:pStyle w:val="P68B1DB1-Normal8"/>
        <w:rPr>
          <w:u w:val="single"/>
        </w:rPr>
      </w:pPr>
      <w:r>
        <w:t xml:space="preserve">Treba postojati učinkovita, djelotvorna i </w:t>
      </w:r>
      <w:r w:rsidR="00FA5E47">
        <w:t>dobra</w:t>
      </w:r>
      <w:r>
        <w:t xml:space="preserve"> uprava u svim </w:t>
      </w:r>
      <w:r w:rsidR="00FA5E47">
        <w:t>državnim</w:t>
      </w:r>
      <w:r>
        <w:t xml:space="preserve"> i javnim institucijama, uključujući sve javne službenike, kako bi se promicala dobrobit svih kojima služe, bez diskriminacije, među ostalim optimizacijom korištenja javnih sredstava.</w:t>
      </w:r>
    </w:p>
    <w:p w14:paraId="1F2D14B5" w14:textId="77777777" w:rsidR="007972B9" w:rsidRDefault="007972B9">
      <w:pPr>
        <w:rPr>
          <w:rFonts w:cs="Arial"/>
          <w:i/>
        </w:rPr>
      </w:pPr>
    </w:p>
    <w:p w14:paraId="0A7B9682" w14:textId="77777777" w:rsidR="007972B9" w:rsidRDefault="002343ED">
      <w:pPr>
        <w:pStyle w:val="P68B1DB1-Normal14"/>
      </w:pPr>
      <w:r>
        <w:br w:type="page"/>
      </w:r>
    </w:p>
    <w:p w14:paraId="1F801AC1" w14:textId="713EB7A7" w:rsidR="007972B9" w:rsidRDefault="002343ED">
      <w:pPr>
        <w:pStyle w:val="P68B1DB1-Normal14"/>
      </w:pPr>
      <w:r>
        <w:lastRenderedPageBreak/>
        <w:t>Načelo 8. – Vod</w:t>
      </w:r>
      <w:r w:rsidR="007A4114">
        <w:t>stvo</w:t>
      </w:r>
      <w:r>
        <w:t>, sposobnost i kapacitet</w:t>
      </w:r>
    </w:p>
    <w:p w14:paraId="108F1E08" w14:textId="77777777" w:rsidR="007972B9" w:rsidRDefault="007972B9">
      <w:pPr>
        <w:rPr>
          <w:rFonts w:cs="Arial"/>
        </w:rPr>
      </w:pPr>
    </w:p>
    <w:p w14:paraId="5D7FCA0F" w14:textId="2812BA4A" w:rsidR="007972B9" w:rsidRDefault="007A4114">
      <w:pPr>
        <w:pStyle w:val="P68B1DB1-Normal8"/>
      </w:pPr>
      <w:r>
        <w:t>Potrebni su</w:t>
      </w:r>
      <w:r w:rsidR="002343ED">
        <w:t xml:space="preserve"> dosljedni i održivi napori za jačanje organizacijskog vodstva vlade i javnih institucija te sposobnosti i kapaciteta </w:t>
      </w:r>
      <w:bookmarkStart w:id="7" w:name="_Hlk114156034"/>
      <w:r w:rsidR="002343ED">
        <w:t xml:space="preserve">svih javnih </w:t>
      </w:r>
      <w:r>
        <w:t>službenika,</w:t>
      </w:r>
      <w:r w:rsidR="002343ED">
        <w:t xml:space="preserve"> </w:t>
      </w:r>
      <w:bookmarkEnd w:id="7"/>
      <w:r w:rsidR="002343ED">
        <w:t>kako bi temelj</w:t>
      </w:r>
      <w:r w:rsidR="00182F02">
        <w:t xml:space="preserve">na pravila </w:t>
      </w:r>
      <w:r w:rsidR="002343ED">
        <w:t>dobrog demokratskog upravljanja bil</w:t>
      </w:r>
      <w:r w:rsidR="00182F02">
        <w:t>a</w:t>
      </w:r>
      <w:r w:rsidR="002343ED">
        <w:t xml:space="preserve"> djelotvorn</w:t>
      </w:r>
      <w:r w:rsidR="00182F02">
        <w:t>a</w:t>
      </w:r>
      <w:r w:rsidR="002343ED">
        <w:t>.</w:t>
      </w:r>
    </w:p>
    <w:p w14:paraId="35322BE7" w14:textId="77777777" w:rsidR="007972B9" w:rsidRDefault="007972B9">
      <w:pPr>
        <w:rPr>
          <w:rFonts w:cs="Arial"/>
        </w:rPr>
      </w:pPr>
    </w:p>
    <w:p w14:paraId="25A78D36" w14:textId="50A4E2B6" w:rsidR="007972B9" w:rsidRDefault="002343ED">
      <w:pPr>
        <w:pStyle w:val="P68B1DB1-Normal14"/>
      </w:pPr>
      <w:r>
        <w:t xml:space="preserve">Načelo br. 9 – </w:t>
      </w:r>
      <w:r w:rsidR="00AB4D1F">
        <w:t>Sposobnost reagiranja</w:t>
      </w:r>
    </w:p>
    <w:p w14:paraId="27E1133B" w14:textId="77777777" w:rsidR="007972B9" w:rsidRDefault="007972B9">
      <w:pPr>
        <w:rPr>
          <w:rFonts w:cs="Arial"/>
        </w:rPr>
      </w:pPr>
    </w:p>
    <w:p w14:paraId="00AB8445" w14:textId="409DCF84" w:rsidR="007972B9" w:rsidRDefault="002343ED">
      <w:pPr>
        <w:pStyle w:val="P68B1DB1-Normal8"/>
        <w:rPr>
          <w:u w:val="single"/>
        </w:rPr>
      </w:pPr>
      <w:r>
        <w:t xml:space="preserve">Vlada, javne institucije i javni </w:t>
      </w:r>
      <w:r w:rsidR="00AB4D1F">
        <w:t>službe</w:t>
      </w:r>
      <w:r>
        <w:t xml:space="preserve">nici </w:t>
      </w:r>
      <w:r w:rsidR="008C6145">
        <w:t xml:space="preserve">trebaju ažurno reagirati </w:t>
      </w:r>
      <w:r>
        <w:t>na legitimna očekivanja i potrebe onih kojima služe.</w:t>
      </w:r>
    </w:p>
    <w:p w14:paraId="4EFE09A2" w14:textId="77777777" w:rsidR="007972B9" w:rsidRDefault="007972B9">
      <w:pPr>
        <w:rPr>
          <w:rFonts w:cs="Arial"/>
          <w:b/>
        </w:rPr>
      </w:pPr>
    </w:p>
    <w:p w14:paraId="02C45908" w14:textId="77777777" w:rsidR="007972B9" w:rsidRDefault="002343ED">
      <w:pPr>
        <w:pStyle w:val="P68B1DB1-Normal11"/>
      </w:pPr>
      <w:r>
        <w:t>Pružanje visokokvalitetnih javnih usluga te gospodarske, socijalne i ekološke dobrobiti</w:t>
      </w:r>
    </w:p>
    <w:p w14:paraId="41984A4B" w14:textId="77777777" w:rsidR="007972B9" w:rsidRDefault="007972B9">
      <w:pPr>
        <w:rPr>
          <w:rFonts w:cs="Arial"/>
          <w:i/>
        </w:rPr>
      </w:pPr>
    </w:p>
    <w:p w14:paraId="0A66F68B" w14:textId="77777777" w:rsidR="007972B9" w:rsidRDefault="002343ED">
      <w:pPr>
        <w:pStyle w:val="P68B1DB1-Normal14"/>
      </w:pPr>
      <w:r>
        <w:t>Načelo 10. – Dobro financijsko i gospodarsko upravljanje</w:t>
      </w:r>
    </w:p>
    <w:p w14:paraId="2B0CEE11" w14:textId="77777777" w:rsidR="007972B9" w:rsidRDefault="007972B9">
      <w:pPr>
        <w:rPr>
          <w:rFonts w:cs="Arial"/>
        </w:rPr>
      </w:pPr>
    </w:p>
    <w:p w14:paraId="2A15C52A" w14:textId="28938844" w:rsidR="007972B9" w:rsidRDefault="002343ED">
      <w:pPr>
        <w:pStyle w:val="P68B1DB1-Normal8"/>
      </w:pPr>
      <w:r>
        <w:t>Potrebno je dobro financijsko i gospodarsko upravljanje u svim državnim i javnim institucijama te svi</w:t>
      </w:r>
      <w:r w:rsidR="008C6145">
        <w:t>h</w:t>
      </w:r>
      <w:r>
        <w:t xml:space="preserve"> javn</w:t>
      </w:r>
      <w:r w:rsidR="008C6145">
        <w:t>ih</w:t>
      </w:r>
      <w:r>
        <w:t xml:space="preserve"> službeni</w:t>
      </w:r>
      <w:r w:rsidR="008C6145">
        <w:t>k</w:t>
      </w:r>
      <w:r>
        <w:t>a</w:t>
      </w:r>
      <w:r w:rsidR="008C6145">
        <w:t>,</w:t>
      </w:r>
      <w:r>
        <w:t xml:space="preserve"> kako bi se osiguralo optimalno korištenje javnih sredstava i provedba politika kojima se promiče dobrobit i blagostanje svih.</w:t>
      </w:r>
    </w:p>
    <w:p w14:paraId="20399E92" w14:textId="77777777" w:rsidR="007972B9" w:rsidRDefault="007972B9">
      <w:pPr>
        <w:rPr>
          <w:rFonts w:cs="Arial"/>
          <w:i/>
        </w:rPr>
      </w:pPr>
    </w:p>
    <w:p w14:paraId="5D85175C" w14:textId="77777777" w:rsidR="007972B9" w:rsidRDefault="002343ED">
      <w:pPr>
        <w:pStyle w:val="P68B1DB1-Normal14"/>
      </w:pPr>
      <w:r>
        <w:t>Načelo 11. – Održivost i dugoročna usmjerenost</w:t>
      </w:r>
    </w:p>
    <w:p w14:paraId="55DE19D5" w14:textId="77777777" w:rsidR="007972B9" w:rsidRDefault="007972B9">
      <w:pPr>
        <w:rPr>
          <w:rFonts w:cs="Arial"/>
        </w:rPr>
      </w:pPr>
    </w:p>
    <w:p w14:paraId="4491F26B" w14:textId="1E2F4B83" w:rsidR="007972B9" w:rsidRDefault="00C43D1C">
      <w:pPr>
        <w:pStyle w:val="P68B1DB1-Normal8"/>
      </w:pPr>
      <w:r>
        <w:t>Potrebno je</w:t>
      </w:r>
      <w:r w:rsidR="002343ED">
        <w:t xml:space="preserve"> uložiti napore kako bi se maksimalno povećala održivost odluka i mjera koje poduzimaju vl</w:t>
      </w:r>
      <w:r>
        <w:t>ade, javne institucije i javni službenici</w:t>
      </w:r>
      <w:r w:rsidR="002343ED">
        <w:t xml:space="preserve"> te kako bi se uzeo u obzir njihov mogući učinak na buduće generacije i sposobnost tih generacija da odgovore na vlastite potrebe. </w:t>
      </w:r>
    </w:p>
    <w:p w14:paraId="2E0DDE3F" w14:textId="77777777" w:rsidR="007972B9" w:rsidRDefault="007972B9">
      <w:pPr>
        <w:rPr>
          <w:rFonts w:cs="Arial"/>
          <w:i/>
        </w:rPr>
      </w:pPr>
    </w:p>
    <w:p w14:paraId="6513D586" w14:textId="77777777" w:rsidR="007972B9" w:rsidRDefault="002343ED">
      <w:pPr>
        <w:pStyle w:val="P68B1DB1-Normal14"/>
      </w:pPr>
      <w:r>
        <w:t>Načelo 12. – Otvorenost za promjene i inovacije</w:t>
      </w:r>
    </w:p>
    <w:p w14:paraId="44F37030" w14:textId="77777777" w:rsidR="007972B9" w:rsidRDefault="007972B9">
      <w:pPr>
        <w:rPr>
          <w:rFonts w:cs="Arial"/>
        </w:rPr>
      </w:pPr>
    </w:p>
    <w:p w14:paraId="349C3AA3" w14:textId="3B849076" w:rsidR="007972B9" w:rsidRDefault="002343ED">
      <w:pPr>
        <w:pStyle w:val="P68B1DB1-Normal8"/>
      </w:pPr>
      <w:r>
        <w:t xml:space="preserve">Vlade, javne institucije i javni </w:t>
      </w:r>
      <w:r w:rsidR="00C43D1C">
        <w:t>službe</w:t>
      </w:r>
      <w:r>
        <w:t xml:space="preserve">nici trebali bi biti spremni proaktivno prihvatiti promjene i inovacije ako bi se time poboljšala otpornost i kvaliteta javnih usluga, uzimajući u obzir promjenjiva očekivanja i okolnosti te </w:t>
      </w:r>
      <w:r w:rsidR="00C43D1C">
        <w:t xml:space="preserve">uz </w:t>
      </w:r>
      <w:r>
        <w:t>širok</w:t>
      </w:r>
      <w:r w:rsidR="00C43D1C">
        <w:t xml:space="preserve">u suradnju </w:t>
      </w:r>
      <w:r>
        <w:t>s drugima</w:t>
      </w:r>
      <w:r w:rsidR="00A65145">
        <w:t>,</w:t>
      </w:r>
      <w:r>
        <w:t xml:space="preserve"> kako bi se oslanjali na dobru praksu i </w:t>
      </w:r>
      <w:r w:rsidR="00A65145">
        <w:t xml:space="preserve">unaprijedili </w:t>
      </w:r>
      <w:r>
        <w:t>znanje.</w:t>
      </w:r>
    </w:p>
    <w:sectPr w:rsidR="007972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92" w:right="1162" w:bottom="709" w:left="1077" w:header="454" w:footer="340" w:gutter="113"/>
      <w:pgNumType w:chapStyle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D59A" w14:textId="77777777" w:rsidR="007972B9" w:rsidRDefault="002343ED">
      <w:r>
        <w:separator/>
      </w:r>
    </w:p>
  </w:endnote>
  <w:endnote w:type="continuationSeparator" w:id="0">
    <w:p w14:paraId="67938B08" w14:textId="77777777" w:rsidR="007972B9" w:rsidRDefault="0023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9AF0" w14:textId="77777777" w:rsidR="003501EA" w:rsidRDefault="003501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AF49" w14:textId="77777777" w:rsidR="007972B9" w:rsidRDefault="007972B9">
    <w:pPr>
      <w:pStyle w:val="Podnoje"/>
      <w:jc w:val="right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8FB5" w14:textId="77777777" w:rsidR="007972B9" w:rsidRDefault="002343ED">
    <w:pPr>
      <w:pStyle w:val="Podnoje"/>
      <w:rPr>
        <w:sz w:val="16"/>
      </w:rPr>
    </w:pPr>
    <w:r>
      <w:rPr>
        <w:sz w:val="16"/>
      </w:rPr>
      <w:t xml:space="preserve">Web-mjesto: </w:t>
    </w:r>
    <w:hyperlink r:id="rId1" w:history="1">
      <w:r>
        <w:rPr>
          <w:rStyle w:val="Hiperveza"/>
          <w:sz w:val="16"/>
        </w:rPr>
        <w:t>www.coe.int/cm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89387" w14:textId="77777777" w:rsidR="007972B9" w:rsidRDefault="002343ED">
      <w:r>
        <w:separator/>
      </w:r>
    </w:p>
  </w:footnote>
  <w:footnote w:type="continuationSeparator" w:id="0">
    <w:p w14:paraId="1CECFE74" w14:textId="77777777" w:rsidR="007972B9" w:rsidRDefault="0023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C48C" w14:textId="19428D59" w:rsidR="007972B9" w:rsidRDefault="003501EA">
    <w:pPr>
      <w:pStyle w:val="Zaglavlje"/>
    </w:pPr>
    <w:r>
      <w:rPr>
        <w:noProof/>
      </w:rPr>
      <w:pict w14:anchorId="23CC9E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244922" o:spid="_x0000_s1026" type="#_x0000_t136" style="position:absolute;margin-left:0;margin-top:0;width:614.5pt;height:61.2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ESLUŽBENI PRIJEVOD"/>
        </v:shape>
      </w:pict>
    </w:r>
    <w:r w:rsidR="002343ED">
      <w:t>Cm/Rec(2023)5</w:t>
    </w:r>
    <w:r w:rsidR="002343ED">
      <w:tab/>
    </w:r>
    <w:r w:rsidR="002343ED">
      <w:fldChar w:fldCharType="begin"/>
    </w:r>
    <w:r w:rsidR="002343ED">
      <w:instrText xml:space="preserve"> PAGE  \* Arabic  \* MERGEFORMAT </w:instrText>
    </w:r>
    <w:r w:rsidR="002343ED">
      <w:fldChar w:fldCharType="separate"/>
    </w:r>
    <w:r>
      <w:rPr>
        <w:noProof/>
      </w:rPr>
      <w:t>2</w:t>
    </w:r>
    <w:r w:rsidR="002343E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1087" w14:textId="431B14BF" w:rsidR="007972B9" w:rsidRDefault="003501EA">
    <w:pPr>
      <w:pStyle w:val="Zaglavlje"/>
    </w:pPr>
    <w:r>
      <w:rPr>
        <w:noProof/>
      </w:rPr>
      <w:pict w14:anchorId="23EF20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244923" o:spid="_x0000_s1027" type="#_x0000_t136" style="position:absolute;margin-left:0;margin-top:0;width:612.35pt;height:61.2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ESLUŽBENI PRIJEVOD"/>
        </v:shape>
      </w:pict>
    </w:r>
    <w:r w:rsidR="002343ED">
      <w:tab/>
    </w:r>
    <w:r w:rsidR="002343ED">
      <w:fldChar w:fldCharType="begin"/>
    </w:r>
    <w:r w:rsidR="002343ED">
      <w:instrText xml:space="preserve"> PAGE  \* Arabic  \* MERGEFORMAT </w:instrText>
    </w:r>
    <w:r w:rsidR="002343ED">
      <w:fldChar w:fldCharType="separate"/>
    </w:r>
    <w:r>
      <w:rPr>
        <w:noProof/>
      </w:rPr>
      <w:t>3</w:t>
    </w:r>
    <w:r w:rsidR="002343ED">
      <w:fldChar w:fldCharType="end"/>
    </w:r>
    <w:r w:rsidR="002343ED">
      <w:tab/>
      <w:t>Cm/Rec(2023)5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61F7" w14:textId="391ACA83" w:rsidR="007972B9" w:rsidRDefault="003501EA">
    <w:pPr>
      <w:pStyle w:val="Zaglavlje"/>
      <w:spacing w:after="2280"/>
    </w:pPr>
    <w:r>
      <w:rPr>
        <w:noProof/>
      </w:rPr>
      <w:pict w14:anchorId="1E0EC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244921" o:spid="_x0000_s1025" type="#_x0000_t136" style="position:absolute;margin-left:0;margin-top:0;width:612.35pt;height:61.2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ESLUŽBENI PRIJEVOD"/>
        </v:shape>
      </w:pict>
    </w:r>
    <w:r w:rsidR="002343ED">
      <w:rPr>
        <w:noProof/>
        <w:lang w:val="hr-HR"/>
      </w:rPr>
      <w:drawing>
        <wp:anchor distT="0" distB="0" distL="114300" distR="114300" simplePos="0" relativeHeight="251659264" behindDoc="1" locked="0" layoutInCell="0" allowOverlap="0" wp14:anchorId="5B212308" wp14:editId="2149BF67">
          <wp:simplePos x="0" y="0"/>
          <wp:positionH relativeFrom="page">
            <wp:posOffset>491</wp:posOffset>
          </wp:positionH>
          <wp:positionV relativeFrom="page">
            <wp:posOffset>0</wp:posOffset>
          </wp:positionV>
          <wp:extent cx="7584218" cy="10728000"/>
          <wp:effectExtent l="0" t="0" r="0" b="0"/>
          <wp:wrapNone/>
          <wp:docPr id="2" name="Slika 2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Colou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8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D3"/>
    <w:multiLevelType w:val="hybridMultilevel"/>
    <w:tmpl w:val="0218CE0C"/>
    <w:lvl w:ilvl="0" w:tplc="2690B9E4">
      <w:start w:val="1"/>
      <w:numFmt w:val="bullet"/>
      <w:pStyle w:val="ElencoPuntato"/>
      <w:lvlText w:val="-"/>
      <w:lvlJc w:val="left"/>
      <w:pPr>
        <w:ind w:left="786" w:hanging="360"/>
      </w:pPr>
      <w:rPr>
        <w:rFonts w:hint="default"/>
        <w:b/>
        <w:i w:val="0"/>
      </w:rPr>
    </w:lvl>
    <w:lvl w:ilvl="1" w:tplc="419080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135"/>
    <w:multiLevelType w:val="hybridMultilevel"/>
    <w:tmpl w:val="EE1E827C"/>
    <w:lvl w:ilvl="0" w:tplc="8394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6976"/>
    <w:multiLevelType w:val="hybridMultilevel"/>
    <w:tmpl w:val="DA5E05E8"/>
    <w:lvl w:ilvl="0" w:tplc="8394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4F6"/>
    <w:multiLevelType w:val="hybridMultilevel"/>
    <w:tmpl w:val="2BC6D1EA"/>
    <w:lvl w:ilvl="0" w:tplc="8394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4898"/>
    <w:multiLevelType w:val="hybridMultilevel"/>
    <w:tmpl w:val="0E703FB6"/>
    <w:lvl w:ilvl="0" w:tplc="7F9ABAF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3944"/>
    <w:multiLevelType w:val="hybridMultilevel"/>
    <w:tmpl w:val="752C7BE2"/>
    <w:lvl w:ilvl="0" w:tplc="8D0C9624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66B0B"/>
    <w:multiLevelType w:val="hybridMultilevel"/>
    <w:tmpl w:val="6C2EC2B8"/>
    <w:lvl w:ilvl="0" w:tplc="8394641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194E"/>
    <w:multiLevelType w:val="hybridMultilevel"/>
    <w:tmpl w:val="A704E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E6850"/>
    <w:multiLevelType w:val="hybridMultilevel"/>
    <w:tmpl w:val="9C0AC068"/>
    <w:lvl w:ilvl="0" w:tplc="8394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005D"/>
    <w:multiLevelType w:val="hybridMultilevel"/>
    <w:tmpl w:val="79F40F80"/>
    <w:lvl w:ilvl="0" w:tplc="CB26FF3E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D27"/>
    <w:multiLevelType w:val="hybridMultilevel"/>
    <w:tmpl w:val="E4B470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394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3152B"/>
    <w:multiLevelType w:val="hybridMultilevel"/>
    <w:tmpl w:val="B61615C4"/>
    <w:lvl w:ilvl="0" w:tplc="B656B2A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E3D88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A4394A">
      <w:start w:val="96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AFB2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4D65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A1AC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A53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03EE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878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D2432"/>
    <w:multiLevelType w:val="hybridMultilevel"/>
    <w:tmpl w:val="F2C2BAAA"/>
    <w:lvl w:ilvl="0" w:tplc="8394641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6E6"/>
    <w:multiLevelType w:val="hybridMultilevel"/>
    <w:tmpl w:val="CCE608EA"/>
    <w:lvl w:ilvl="0" w:tplc="8394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D556F"/>
    <w:multiLevelType w:val="hybridMultilevel"/>
    <w:tmpl w:val="9794A476"/>
    <w:lvl w:ilvl="0" w:tplc="8394641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F08B2"/>
    <w:multiLevelType w:val="hybridMultilevel"/>
    <w:tmpl w:val="6CC892D4"/>
    <w:lvl w:ilvl="0" w:tplc="8394641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D6D69"/>
    <w:multiLevelType w:val="hybridMultilevel"/>
    <w:tmpl w:val="2A2E9976"/>
    <w:lvl w:ilvl="0" w:tplc="8394641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15669"/>
    <w:multiLevelType w:val="hybridMultilevel"/>
    <w:tmpl w:val="2FFA1630"/>
    <w:lvl w:ilvl="0" w:tplc="8394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75A6C"/>
    <w:multiLevelType w:val="hybridMultilevel"/>
    <w:tmpl w:val="BAA62796"/>
    <w:lvl w:ilvl="0" w:tplc="AA2838E2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E5920"/>
    <w:multiLevelType w:val="hybridMultilevel"/>
    <w:tmpl w:val="967EF35C"/>
    <w:lvl w:ilvl="0" w:tplc="8394641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D6E88"/>
    <w:multiLevelType w:val="hybridMultilevel"/>
    <w:tmpl w:val="BA90D9F0"/>
    <w:lvl w:ilvl="0" w:tplc="8394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3274"/>
    <w:multiLevelType w:val="hybridMultilevel"/>
    <w:tmpl w:val="07A6BE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53CD1"/>
    <w:multiLevelType w:val="hybridMultilevel"/>
    <w:tmpl w:val="824E59D4"/>
    <w:lvl w:ilvl="0" w:tplc="B0867352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C7656"/>
    <w:multiLevelType w:val="hybridMultilevel"/>
    <w:tmpl w:val="62E6A554"/>
    <w:lvl w:ilvl="0" w:tplc="8394641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D0863"/>
    <w:multiLevelType w:val="hybridMultilevel"/>
    <w:tmpl w:val="1A00EB2C"/>
    <w:lvl w:ilvl="0" w:tplc="8394641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D6D1C"/>
    <w:multiLevelType w:val="hybridMultilevel"/>
    <w:tmpl w:val="E6B8A842"/>
    <w:lvl w:ilvl="0" w:tplc="8394641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04B"/>
    <w:multiLevelType w:val="hybridMultilevel"/>
    <w:tmpl w:val="2E3ABC68"/>
    <w:lvl w:ilvl="0" w:tplc="8D0C9624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773395"/>
    <w:multiLevelType w:val="hybridMultilevel"/>
    <w:tmpl w:val="1BF6169E"/>
    <w:lvl w:ilvl="0" w:tplc="8394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84EF0"/>
    <w:multiLevelType w:val="hybridMultilevel"/>
    <w:tmpl w:val="4104A772"/>
    <w:lvl w:ilvl="0" w:tplc="8A1CCB6A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12160"/>
    <w:multiLevelType w:val="hybridMultilevel"/>
    <w:tmpl w:val="3D4AC71E"/>
    <w:lvl w:ilvl="0" w:tplc="B2BA03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14"/>
  </w:num>
  <w:num w:numId="16">
    <w:abstractNumId w:val="23"/>
  </w:num>
  <w:num w:numId="17">
    <w:abstractNumId w:val="12"/>
  </w:num>
  <w:num w:numId="18">
    <w:abstractNumId w:val="6"/>
  </w:num>
  <w:num w:numId="19">
    <w:abstractNumId w:val="19"/>
  </w:num>
  <w:num w:numId="20">
    <w:abstractNumId w:val="24"/>
  </w:num>
  <w:num w:numId="21">
    <w:abstractNumId w:val="25"/>
  </w:num>
  <w:num w:numId="22">
    <w:abstractNumId w:val="16"/>
  </w:num>
  <w:num w:numId="23">
    <w:abstractNumId w:val="27"/>
  </w:num>
  <w:num w:numId="24">
    <w:abstractNumId w:val="20"/>
  </w:num>
  <w:num w:numId="25">
    <w:abstractNumId w:val="29"/>
  </w:num>
  <w:num w:numId="26">
    <w:abstractNumId w:val="0"/>
  </w:num>
  <w:num w:numId="27">
    <w:abstractNumId w:val="10"/>
  </w:num>
  <w:num w:numId="28">
    <w:abstractNumId w:val="11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80"/>
    <w:rsid w:val="00002480"/>
    <w:rsid w:val="0001238D"/>
    <w:rsid w:val="00012F29"/>
    <w:rsid w:val="00015C19"/>
    <w:rsid w:val="00026B0A"/>
    <w:rsid w:val="00035FDF"/>
    <w:rsid w:val="00071EA7"/>
    <w:rsid w:val="00072CBD"/>
    <w:rsid w:val="00082CEE"/>
    <w:rsid w:val="000A307B"/>
    <w:rsid w:val="000C52A6"/>
    <w:rsid w:val="000C6B01"/>
    <w:rsid w:val="000E50A4"/>
    <w:rsid w:val="000F4CF2"/>
    <w:rsid w:val="000F58C3"/>
    <w:rsid w:val="000F5ADA"/>
    <w:rsid w:val="00101EA5"/>
    <w:rsid w:val="00106141"/>
    <w:rsid w:val="00110729"/>
    <w:rsid w:val="00113EB0"/>
    <w:rsid w:val="00116AE9"/>
    <w:rsid w:val="00120254"/>
    <w:rsid w:val="00123CDD"/>
    <w:rsid w:val="00124940"/>
    <w:rsid w:val="00134D9A"/>
    <w:rsid w:val="00135BDB"/>
    <w:rsid w:val="00140FC8"/>
    <w:rsid w:val="0014266D"/>
    <w:rsid w:val="00147EF4"/>
    <w:rsid w:val="00153BB3"/>
    <w:rsid w:val="00156DC1"/>
    <w:rsid w:val="00160B03"/>
    <w:rsid w:val="00171115"/>
    <w:rsid w:val="00181ED9"/>
    <w:rsid w:val="00182F02"/>
    <w:rsid w:val="001A6076"/>
    <w:rsid w:val="001B7E0B"/>
    <w:rsid w:val="001E7C29"/>
    <w:rsid w:val="001F297D"/>
    <w:rsid w:val="001F4F04"/>
    <w:rsid w:val="0021322A"/>
    <w:rsid w:val="00214299"/>
    <w:rsid w:val="002250DD"/>
    <w:rsid w:val="0023437D"/>
    <w:rsid w:val="002343ED"/>
    <w:rsid w:val="00242ABB"/>
    <w:rsid w:val="00244477"/>
    <w:rsid w:val="00251353"/>
    <w:rsid w:val="00262B36"/>
    <w:rsid w:val="00265917"/>
    <w:rsid w:val="002660DB"/>
    <w:rsid w:val="002861FB"/>
    <w:rsid w:val="00293EE6"/>
    <w:rsid w:val="002C0872"/>
    <w:rsid w:val="002C1DBC"/>
    <w:rsid w:val="002C20BA"/>
    <w:rsid w:val="002C43B5"/>
    <w:rsid w:val="002C4704"/>
    <w:rsid w:val="002D0655"/>
    <w:rsid w:val="002D0A72"/>
    <w:rsid w:val="002D11B8"/>
    <w:rsid w:val="002E4089"/>
    <w:rsid w:val="002F3006"/>
    <w:rsid w:val="002F405C"/>
    <w:rsid w:val="002F6BB7"/>
    <w:rsid w:val="00303712"/>
    <w:rsid w:val="003354C4"/>
    <w:rsid w:val="00335CAF"/>
    <w:rsid w:val="003364D1"/>
    <w:rsid w:val="003501EA"/>
    <w:rsid w:val="00363594"/>
    <w:rsid w:val="0037200F"/>
    <w:rsid w:val="00373957"/>
    <w:rsid w:val="00377272"/>
    <w:rsid w:val="00381C50"/>
    <w:rsid w:val="00385587"/>
    <w:rsid w:val="00392D1D"/>
    <w:rsid w:val="003A1131"/>
    <w:rsid w:val="003A5509"/>
    <w:rsid w:val="003B2C8C"/>
    <w:rsid w:val="003B345B"/>
    <w:rsid w:val="003D3B17"/>
    <w:rsid w:val="003D48AE"/>
    <w:rsid w:val="003D6AC2"/>
    <w:rsid w:val="003F03E2"/>
    <w:rsid w:val="003F0D59"/>
    <w:rsid w:val="003F3D4B"/>
    <w:rsid w:val="0040027C"/>
    <w:rsid w:val="00400868"/>
    <w:rsid w:val="00414894"/>
    <w:rsid w:val="004256CB"/>
    <w:rsid w:val="004329B7"/>
    <w:rsid w:val="0044127F"/>
    <w:rsid w:val="00443709"/>
    <w:rsid w:val="004476C1"/>
    <w:rsid w:val="00447D22"/>
    <w:rsid w:val="004553F6"/>
    <w:rsid w:val="00480D8B"/>
    <w:rsid w:val="004A37E1"/>
    <w:rsid w:val="004C0C2F"/>
    <w:rsid w:val="004C11B3"/>
    <w:rsid w:val="004F0510"/>
    <w:rsid w:val="0050115D"/>
    <w:rsid w:val="0054041B"/>
    <w:rsid w:val="00550B6C"/>
    <w:rsid w:val="005743F5"/>
    <w:rsid w:val="00574663"/>
    <w:rsid w:val="00596078"/>
    <w:rsid w:val="005B025A"/>
    <w:rsid w:val="005B1FA1"/>
    <w:rsid w:val="005B3604"/>
    <w:rsid w:val="005C73BB"/>
    <w:rsid w:val="005D59EA"/>
    <w:rsid w:val="005D7CDF"/>
    <w:rsid w:val="005F093B"/>
    <w:rsid w:val="005F3DC6"/>
    <w:rsid w:val="00614982"/>
    <w:rsid w:val="00631491"/>
    <w:rsid w:val="00643231"/>
    <w:rsid w:val="00643C3F"/>
    <w:rsid w:val="00644AD3"/>
    <w:rsid w:val="006455FA"/>
    <w:rsid w:val="0065702B"/>
    <w:rsid w:val="00660638"/>
    <w:rsid w:val="00667B31"/>
    <w:rsid w:val="00671684"/>
    <w:rsid w:val="00671EA2"/>
    <w:rsid w:val="006827E4"/>
    <w:rsid w:val="006908C5"/>
    <w:rsid w:val="006A372B"/>
    <w:rsid w:val="006E2FB5"/>
    <w:rsid w:val="006F0318"/>
    <w:rsid w:val="006F6B48"/>
    <w:rsid w:val="00706F64"/>
    <w:rsid w:val="007127BD"/>
    <w:rsid w:val="00712E65"/>
    <w:rsid w:val="007150DE"/>
    <w:rsid w:val="00721866"/>
    <w:rsid w:val="00724F17"/>
    <w:rsid w:val="00735569"/>
    <w:rsid w:val="00740E73"/>
    <w:rsid w:val="007541C7"/>
    <w:rsid w:val="00754E6F"/>
    <w:rsid w:val="00761627"/>
    <w:rsid w:val="00773CFE"/>
    <w:rsid w:val="00786611"/>
    <w:rsid w:val="007972B9"/>
    <w:rsid w:val="007A4114"/>
    <w:rsid w:val="007A543D"/>
    <w:rsid w:val="007B3DD0"/>
    <w:rsid w:val="007C0AD1"/>
    <w:rsid w:val="007D7B20"/>
    <w:rsid w:val="007E168C"/>
    <w:rsid w:val="007E2F8F"/>
    <w:rsid w:val="00800A19"/>
    <w:rsid w:val="008042E6"/>
    <w:rsid w:val="00805F04"/>
    <w:rsid w:val="00810D5A"/>
    <w:rsid w:val="00814AA2"/>
    <w:rsid w:val="0082394F"/>
    <w:rsid w:val="00853C90"/>
    <w:rsid w:val="00854F15"/>
    <w:rsid w:val="008575F2"/>
    <w:rsid w:val="00857F73"/>
    <w:rsid w:val="008630C4"/>
    <w:rsid w:val="0087380A"/>
    <w:rsid w:val="00877E5C"/>
    <w:rsid w:val="00885325"/>
    <w:rsid w:val="008B07D4"/>
    <w:rsid w:val="008C12CC"/>
    <w:rsid w:val="008C6145"/>
    <w:rsid w:val="008D7DAF"/>
    <w:rsid w:val="008E49CC"/>
    <w:rsid w:val="00916BF5"/>
    <w:rsid w:val="009215B8"/>
    <w:rsid w:val="009228CE"/>
    <w:rsid w:val="00923554"/>
    <w:rsid w:val="009270C4"/>
    <w:rsid w:val="00940F14"/>
    <w:rsid w:val="009412BA"/>
    <w:rsid w:val="009432D0"/>
    <w:rsid w:val="00950D67"/>
    <w:rsid w:val="009527D7"/>
    <w:rsid w:val="00955512"/>
    <w:rsid w:val="00961F72"/>
    <w:rsid w:val="00963962"/>
    <w:rsid w:val="00974C41"/>
    <w:rsid w:val="009A3332"/>
    <w:rsid w:val="009A765E"/>
    <w:rsid w:val="009B3AB7"/>
    <w:rsid w:val="009C5258"/>
    <w:rsid w:val="009D28F3"/>
    <w:rsid w:val="009E0A57"/>
    <w:rsid w:val="009F4D8E"/>
    <w:rsid w:val="00A04E84"/>
    <w:rsid w:val="00A063D9"/>
    <w:rsid w:val="00A12DEC"/>
    <w:rsid w:val="00A22D53"/>
    <w:rsid w:val="00A474E5"/>
    <w:rsid w:val="00A65145"/>
    <w:rsid w:val="00A842D4"/>
    <w:rsid w:val="00A916FF"/>
    <w:rsid w:val="00A93CA3"/>
    <w:rsid w:val="00AB4D1F"/>
    <w:rsid w:val="00AB6552"/>
    <w:rsid w:val="00AB67F8"/>
    <w:rsid w:val="00AB7727"/>
    <w:rsid w:val="00AC73AA"/>
    <w:rsid w:val="00AE76B8"/>
    <w:rsid w:val="00B06133"/>
    <w:rsid w:val="00B108AB"/>
    <w:rsid w:val="00B129D8"/>
    <w:rsid w:val="00B227AE"/>
    <w:rsid w:val="00B41B03"/>
    <w:rsid w:val="00B41EC3"/>
    <w:rsid w:val="00B43EC3"/>
    <w:rsid w:val="00B63F08"/>
    <w:rsid w:val="00B64F15"/>
    <w:rsid w:val="00B81BAC"/>
    <w:rsid w:val="00B849E0"/>
    <w:rsid w:val="00B90246"/>
    <w:rsid w:val="00B920E4"/>
    <w:rsid w:val="00BA464D"/>
    <w:rsid w:val="00BA79A3"/>
    <w:rsid w:val="00BB7DCE"/>
    <w:rsid w:val="00BD25C0"/>
    <w:rsid w:val="00C049EE"/>
    <w:rsid w:val="00C109FD"/>
    <w:rsid w:val="00C14C2C"/>
    <w:rsid w:val="00C409C2"/>
    <w:rsid w:val="00C43D1C"/>
    <w:rsid w:val="00C45A54"/>
    <w:rsid w:val="00C534B5"/>
    <w:rsid w:val="00C74E6F"/>
    <w:rsid w:val="00C8348A"/>
    <w:rsid w:val="00C92F89"/>
    <w:rsid w:val="00CC39DC"/>
    <w:rsid w:val="00CE1FF8"/>
    <w:rsid w:val="00CE2C7B"/>
    <w:rsid w:val="00CE4890"/>
    <w:rsid w:val="00CE6FD2"/>
    <w:rsid w:val="00CF3820"/>
    <w:rsid w:val="00CF3BC0"/>
    <w:rsid w:val="00D0182E"/>
    <w:rsid w:val="00D0265B"/>
    <w:rsid w:val="00D24A57"/>
    <w:rsid w:val="00D506B8"/>
    <w:rsid w:val="00D53526"/>
    <w:rsid w:val="00D554E6"/>
    <w:rsid w:val="00D60609"/>
    <w:rsid w:val="00D70628"/>
    <w:rsid w:val="00DA7643"/>
    <w:rsid w:val="00DB029C"/>
    <w:rsid w:val="00DC162E"/>
    <w:rsid w:val="00DC4A39"/>
    <w:rsid w:val="00DE0A21"/>
    <w:rsid w:val="00DE6355"/>
    <w:rsid w:val="00DF6328"/>
    <w:rsid w:val="00DF6796"/>
    <w:rsid w:val="00E125C6"/>
    <w:rsid w:val="00E15639"/>
    <w:rsid w:val="00E173B5"/>
    <w:rsid w:val="00E24C57"/>
    <w:rsid w:val="00E457C3"/>
    <w:rsid w:val="00E475F9"/>
    <w:rsid w:val="00E50974"/>
    <w:rsid w:val="00E54322"/>
    <w:rsid w:val="00E86611"/>
    <w:rsid w:val="00E940BF"/>
    <w:rsid w:val="00EA643A"/>
    <w:rsid w:val="00EE34E3"/>
    <w:rsid w:val="00F01885"/>
    <w:rsid w:val="00F168A4"/>
    <w:rsid w:val="00F2380B"/>
    <w:rsid w:val="00F24713"/>
    <w:rsid w:val="00F40699"/>
    <w:rsid w:val="00F429D8"/>
    <w:rsid w:val="00F433D6"/>
    <w:rsid w:val="00F61D34"/>
    <w:rsid w:val="00F76BBD"/>
    <w:rsid w:val="00F96689"/>
    <w:rsid w:val="00FA5E47"/>
    <w:rsid w:val="00FD6043"/>
    <w:rsid w:val="00FF2641"/>
    <w:rsid w:val="00FF3BAB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0432E"/>
  <w15:docId w15:val="{31437C41-F75E-42AE-AA5C-9029E965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58C3"/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5743F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743F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1491"/>
    <w:pPr>
      <w:tabs>
        <w:tab w:val="center" w:pos="4820"/>
        <w:tab w:val="right" w:pos="9639"/>
      </w:tabs>
    </w:pPr>
    <w:rPr>
      <w:sz w:val="18"/>
    </w:rPr>
  </w:style>
  <w:style w:type="character" w:customStyle="1" w:styleId="ZaglavljeChar">
    <w:name w:val="Zaglavlje Char"/>
    <w:link w:val="Zaglavlje"/>
    <w:uiPriority w:val="99"/>
    <w:rsid w:val="00631491"/>
    <w:rPr>
      <w:rFonts w:ascii="Arial" w:hAnsi="Arial"/>
      <w:sz w:val="18"/>
    </w:rPr>
  </w:style>
  <w:style w:type="paragraph" w:styleId="Podnoje">
    <w:name w:val="footer"/>
    <w:basedOn w:val="Normal"/>
    <w:link w:val="Podnoje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6043"/>
  </w:style>
  <w:style w:type="paragraph" w:styleId="Tekstbalonia">
    <w:name w:val="Balloon Text"/>
    <w:basedOn w:val="Normal"/>
    <w:link w:val="TekstbaloniaChar"/>
    <w:uiPriority w:val="99"/>
    <w:semiHidden/>
    <w:unhideWhenUsed/>
    <w:rsid w:val="00FD6043"/>
    <w:rPr>
      <w:rFonts w:ascii="Tahoma" w:hAnsi="Tahoma" w:cs="Tahoma"/>
      <w:sz w:val="16"/>
    </w:rPr>
  </w:style>
  <w:style w:type="character" w:customStyle="1" w:styleId="TekstbaloniaChar">
    <w:name w:val="Tekst balončića Char"/>
    <w:link w:val="Tekstbalonia"/>
    <w:uiPriority w:val="99"/>
    <w:semiHidden/>
    <w:rsid w:val="00FD6043"/>
    <w:rPr>
      <w:rFonts w:ascii="Tahoma" w:hAnsi="Tahoma" w:cs="Tahoma"/>
      <w:sz w:val="16"/>
    </w:rPr>
  </w:style>
  <w:style w:type="table" w:styleId="Reetkatablice">
    <w:name w:val="Table Grid"/>
    <w:basedOn w:val="Obinatablica"/>
    <w:uiPriority w:val="59"/>
    <w:rsid w:val="0033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styleId="Hiperveza">
    <w:name w:val="Hyperlink"/>
    <w:uiPriority w:val="99"/>
    <w:unhideWhenUsed/>
    <w:rsid w:val="00AE76B8"/>
    <w:rPr>
      <w:color w:val="auto"/>
      <w:u w:val="none"/>
    </w:rPr>
  </w:style>
  <w:style w:type="character" w:styleId="Brojstranice">
    <w:name w:val="page number"/>
    <w:basedOn w:val="Zadanifontodlomka"/>
    <w:uiPriority w:val="99"/>
    <w:semiHidden/>
    <w:unhideWhenUsed/>
    <w:rsid w:val="00E24C57"/>
  </w:style>
  <w:style w:type="character" w:styleId="Referencakomentara">
    <w:name w:val="annotation reference"/>
    <w:uiPriority w:val="99"/>
    <w:semiHidden/>
    <w:unhideWhenUsed/>
    <w:rsid w:val="002250DD"/>
    <w:rPr>
      <w:sz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50DD"/>
    <w:rPr>
      <w:sz w:val="24"/>
    </w:rPr>
  </w:style>
  <w:style w:type="character" w:customStyle="1" w:styleId="TekstkomentaraChar">
    <w:name w:val="Tekst komentara Char"/>
    <w:link w:val="Tekstkomentara"/>
    <w:uiPriority w:val="99"/>
    <w:semiHidden/>
    <w:rsid w:val="002250DD"/>
    <w:rPr>
      <w:sz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50DD"/>
    <w:rPr>
      <w:b/>
      <w:sz w:val="20"/>
    </w:rPr>
  </w:style>
  <w:style w:type="character" w:customStyle="1" w:styleId="PredmetkomentaraChar">
    <w:name w:val="Predmet komentara Char"/>
    <w:link w:val="Predmetkomentara"/>
    <w:uiPriority w:val="99"/>
    <w:semiHidden/>
    <w:rsid w:val="002250DD"/>
    <w:rPr>
      <w:b/>
      <w:sz w:val="20"/>
    </w:rPr>
  </w:style>
  <w:style w:type="paragraph" w:styleId="Tekstfusnote">
    <w:name w:val="footnote text"/>
    <w:aliases w:val="Point 3 Char,Footnote text,ESPON Footnote Text,Schriftart: 9 pt,Schriftart: 10 pt,Schriftart: 8 pt,Κείμενο υποσημείωσης-KATERINA,Char,Κείμενο υποσημείωσης-KATERINA Char,Κείμενο υποσημείωσης Char1 Char Char,Reference"/>
    <w:basedOn w:val="Normal"/>
    <w:link w:val="TekstfusnoteChar"/>
    <w:uiPriority w:val="99"/>
    <w:unhideWhenUsed/>
    <w:rsid w:val="009C5258"/>
    <w:rPr>
      <w:sz w:val="16"/>
    </w:rPr>
  </w:style>
  <w:style w:type="character" w:customStyle="1" w:styleId="TekstfusnoteChar">
    <w:name w:val="Tekst fusnote Char"/>
    <w:aliases w:val="Point 3 Char Char,Footnote text Char,ESPON Footnote Text Char,Schriftart: 9 pt Char,Schriftart: 10 pt Char,Schriftart: 8 pt Char,Κείμενο υποσημείωσης-KATERINA Char1,Char Char,Κείμενο υποσημείωσης-KATERINA Char Char,Reference Char"/>
    <w:link w:val="Tekstfusnote"/>
    <w:uiPriority w:val="99"/>
    <w:rsid w:val="009C5258"/>
    <w:rPr>
      <w:rFonts w:ascii="Arial" w:hAnsi="Arial"/>
      <w:sz w:val="16"/>
    </w:rPr>
  </w:style>
  <w:style w:type="character" w:styleId="Referencafusnote">
    <w:name w:val="footnote reference"/>
    <w:aliases w:val="Footnotes refss,Footnote symbol,Footnote,Footnote reference number,note TESI,Footnote Reference Number,E FNZ,-E Fußnotenzeichen,Footnote#,Times 10 Point,Exposant 3 Point,Ref,de nota al pie,SUPERS,EN Footnote Reference"/>
    <w:uiPriority w:val="99"/>
    <w:semiHidden/>
    <w:unhideWhenUsed/>
    <w:rsid w:val="00853C90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5743F5"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743F5"/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character" w:styleId="Istaknuto">
    <w:name w:val="Emphasis"/>
    <w:basedOn w:val="Zadanifontodlomka"/>
    <w:uiPriority w:val="20"/>
    <w:qFormat/>
    <w:rsid w:val="005743F5"/>
    <w:rPr>
      <w:i/>
      <w:color w:val="000000" w:themeColor="text1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743F5"/>
  </w:style>
  <w:style w:type="paragraph" w:styleId="Bezproreda">
    <w:name w:val="No Spacing"/>
    <w:link w:val="BezproredaChar"/>
    <w:uiPriority w:val="1"/>
    <w:qFormat/>
    <w:rsid w:val="005743F5"/>
  </w:style>
  <w:style w:type="paragraph" w:styleId="Odlomakpopisa">
    <w:name w:val="List Paragraph"/>
    <w:basedOn w:val="Normal"/>
    <w:link w:val="OdlomakpopisaChar"/>
    <w:uiPriority w:val="34"/>
    <w:qFormat/>
    <w:rsid w:val="005743F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reference-text">
    <w:name w:val="reference-text"/>
    <w:basedOn w:val="Zadanifontodlomka"/>
    <w:rsid w:val="005743F5"/>
  </w:style>
  <w:style w:type="character" w:customStyle="1" w:styleId="cf01">
    <w:name w:val="cf01"/>
    <w:basedOn w:val="Zadanifontodlomka"/>
    <w:rsid w:val="005743F5"/>
    <w:rPr>
      <w:rFonts w:ascii="Segoe UI" w:hAnsi="Segoe UI" w:cs="Segoe UI" w:hint="default"/>
      <w:sz w:val="18"/>
    </w:rPr>
  </w:style>
  <w:style w:type="character" w:customStyle="1" w:styleId="cf11">
    <w:name w:val="cf11"/>
    <w:basedOn w:val="Zadanifontodlomka"/>
    <w:rsid w:val="005743F5"/>
    <w:rPr>
      <w:rFonts w:ascii="Segoe UI" w:hAnsi="Segoe UI" w:cs="Segoe UI" w:hint="default"/>
      <w:i/>
      <w:sz w:val="18"/>
    </w:rPr>
  </w:style>
  <w:style w:type="character" w:customStyle="1" w:styleId="markedcontent">
    <w:name w:val="markedcontent"/>
    <w:basedOn w:val="Zadanifontodlomka"/>
    <w:rsid w:val="005743F5"/>
  </w:style>
  <w:style w:type="character" w:styleId="Naglaeno">
    <w:name w:val="Strong"/>
    <w:basedOn w:val="Zadanifontodlomka"/>
    <w:uiPriority w:val="22"/>
    <w:qFormat/>
    <w:rsid w:val="005743F5"/>
    <w:rPr>
      <w:b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E2F8F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qFormat/>
    <w:rsid w:val="00B108AB"/>
    <w:rPr>
      <w:rFonts w:asciiTheme="minorHAnsi" w:eastAsiaTheme="minorHAnsi" w:hAnsiTheme="minorHAnsi" w:cstheme="minorBidi"/>
      <w:sz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F05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ElencoPuntato">
    <w:name w:val="Elenco Puntato"/>
    <w:basedOn w:val="Odlomakpopisa"/>
    <w:link w:val="ElencoPuntatoCarattere"/>
    <w:qFormat/>
    <w:rsid w:val="004F0510"/>
    <w:pPr>
      <w:numPr>
        <w:numId w:val="26"/>
      </w:numPr>
      <w:spacing w:line="259" w:lineRule="auto"/>
      <w:ind w:left="284" w:hanging="284"/>
      <w:jc w:val="both"/>
    </w:pPr>
    <w:rPr>
      <w:rFonts w:ascii="Verdana" w:eastAsiaTheme="minorEastAsia" w:hAnsi="Verdana" w:cstheme="minorHAnsi"/>
      <w:sz w:val="21"/>
    </w:rPr>
  </w:style>
  <w:style w:type="character" w:customStyle="1" w:styleId="ElencoPuntatoCarattere">
    <w:name w:val="Elenco Puntato Carattere"/>
    <w:basedOn w:val="Zadanifontodlomka"/>
    <w:link w:val="ElencoPuntato"/>
    <w:rsid w:val="004F0510"/>
    <w:rPr>
      <w:rFonts w:ascii="Verdana" w:eastAsiaTheme="minorEastAsia" w:hAnsi="Verdana" w:cstheme="minorHAnsi"/>
      <w:sz w:val="21"/>
    </w:rPr>
  </w:style>
  <w:style w:type="paragraph" w:customStyle="1" w:styleId="P68B1DB1-Normal1">
    <w:name w:val="P68B1DB1-Normal1"/>
    <w:basedOn w:val="Normal"/>
    <w:rPr>
      <w:rFonts w:ascii="Arial Narrow" w:hAnsi="Arial Narrow" w:cs="Calibri"/>
      <w:b/>
    </w:rPr>
  </w:style>
  <w:style w:type="paragraph" w:customStyle="1" w:styleId="P68B1DB1-Normal2">
    <w:name w:val="P68B1DB1-Normal2"/>
    <w:basedOn w:val="Normal"/>
    <w:rPr>
      <w:rFonts w:ascii="Arial Narrow" w:hAnsi="Arial Narrow" w:cs="Calibri"/>
    </w:rPr>
  </w:style>
  <w:style w:type="paragraph" w:customStyle="1" w:styleId="P68B1DB1-Normal3">
    <w:name w:val="P68B1DB1-Normal3"/>
    <w:basedOn w:val="Normal"/>
    <w:rPr>
      <w:rFonts w:ascii="Arial Narrow" w:hAnsi="Arial Narrow" w:cs="Calibri"/>
      <w:b/>
      <w:sz w:val="24"/>
    </w:rPr>
  </w:style>
  <w:style w:type="paragraph" w:customStyle="1" w:styleId="P68B1DB1-Normal4">
    <w:name w:val="P68B1DB1-Normal4"/>
    <w:basedOn w:val="Normal"/>
    <w:rPr>
      <w:rFonts w:ascii="Arial Narrow" w:hAnsi="Arial Narrow" w:cs="Calibri"/>
      <w:sz w:val="16"/>
    </w:rPr>
  </w:style>
  <w:style w:type="paragraph" w:customStyle="1" w:styleId="P68B1DB1-Normal5">
    <w:name w:val="P68B1DB1-Normal5"/>
    <w:basedOn w:val="Normal"/>
    <w:rPr>
      <w:rFonts w:ascii="Arial Narrow" w:hAnsi="Arial Narrow" w:cs="Calibri"/>
      <w:b/>
      <w:sz w:val="28"/>
    </w:rPr>
  </w:style>
  <w:style w:type="paragraph" w:customStyle="1" w:styleId="P68B1DB1-Normal6">
    <w:name w:val="P68B1DB1-Normal6"/>
    <w:basedOn w:val="Normal"/>
    <w:rPr>
      <w:rFonts w:ascii="Arial Narrow" w:hAnsi="Arial Narrow" w:cs="Calibri"/>
      <w:i/>
      <w:sz w:val="22"/>
    </w:rPr>
  </w:style>
  <w:style w:type="paragraph" w:customStyle="1" w:styleId="P68B1DB1-Normal7">
    <w:name w:val="P68B1DB1-Normal7"/>
    <w:basedOn w:val="Normal"/>
    <w:rPr>
      <w:rFonts w:eastAsia="Times New Roman"/>
    </w:rPr>
  </w:style>
  <w:style w:type="paragraph" w:customStyle="1" w:styleId="P68B1DB1-Normal8">
    <w:name w:val="P68B1DB1-Normal8"/>
    <w:basedOn w:val="Normal"/>
    <w:rPr>
      <w:rFonts w:cs="Arial"/>
    </w:rPr>
  </w:style>
  <w:style w:type="paragraph" w:customStyle="1" w:styleId="P68B1DB1-ElencoPuntato9">
    <w:name w:val="P68B1DB1-ElencoPuntato9"/>
    <w:basedOn w:val="ElencoPuntato"/>
    <w:rPr>
      <w:rFonts w:ascii="Arial" w:hAnsi="Arial" w:cs="Arial"/>
      <w:sz w:val="20"/>
    </w:rPr>
  </w:style>
  <w:style w:type="paragraph" w:customStyle="1" w:styleId="P68B1DB1-Naslov210">
    <w:name w:val="P68B1DB1-Naslov210"/>
    <w:basedOn w:val="Naslov2"/>
    <w:rPr>
      <w:rFonts w:ascii="Arial" w:hAnsi="Arial" w:cs="Arial"/>
      <w:i/>
      <w:color w:val="auto"/>
      <w:sz w:val="20"/>
    </w:rPr>
  </w:style>
  <w:style w:type="paragraph" w:customStyle="1" w:styleId="P68B1DB1-Normal11">
    <w:name w:val="P68B1DB1-Normal11"/>
    <w:basedOn w:val="Normal"/>
    <w:rPr>
      <w:rFonts w:cs="Arial"/>
      <w:b/>
    </w:rPr>
  </w:style>
  <w:style w:type="paragraph" w:customStyle="1" w:styleId="P68B1DB1-Naslov312">
    <w:name w:val="P68B1DB1-Naslov312"/>
    <w:basedOn w:val="Naslov3"/>
    <w:rPr>
      <w:rFonts w:ascii="Arial" w:hAnsi="Arial" w:cs="Arial"/>
      <w:b/>
      <w:color w:val="auto"/>
      <w:sz w:val="20"/>
    </w:rPr>
  </w:style>
  <w:style w:type="paragraph" w:customStyle="1" w:styleId="P68B1DB1-Naslov313">
    <w:name w:val="P68B1DB1-Naslov313"/>
    <w:basedOn w:val="Naslov3"/>
    <w:rPr>
      <w:rFonts w:ascii="Arial" w:hAnsi="Arial" w:cs="Arial"/>
      <w:color w:val="auto"/>
      <w:sz w:val="20"/>
    </w:rPr>
  </w:style>
  <w:style w:type="paragraph" w:customStyle="1" w:styleId="P68B1DB1-Normal14">
    <w:name w:val="P68B1DB1-Normal14"/>
    <w:basedOn w:val="Normal"/>
    <w:rPr>
      <w:rFonts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c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son_t\ND%20Office%20Echo\DE-RNFVGD8I\E_CMRecommendations-Template%202778-8882-6627%20v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2B1CC6CF4F944AC69C04BDBA03FAE" ma:contentTypeVersion="8" ma:contentTypeDescription="Stvaranje novog dokumenta." ma:contentTypeScope="" ma:versionID="02776e2f8b4bf6a9f68402b1c9822445">
  <xsd:schema xmlns:xsd="http://www.w3.org/2001/XMLSchema" xmlns:xs="http://www.w3.org/2001/XMLSchema" xmlns:p="http://schemas.microsoft.com/office/2006/metadata/properties" xmlns:ns3="633c92e5-368c-4fc4-b609-a6e28f582ec5" targetNamespace="http://schemas.microsoft.com/office/2006/metadata/properties" ma:root="true" ma:fieldsID="f29be4d6e5142d01115a4556f966d3c4" ns3:_="">
    <xsd:import namespace="633c92e5-368c-4fc4-b609-a6e28f582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92e5-368c-4fc4-b609-a6e28f58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0ED4A13-1D31-4DFB-B1EF-412882335A6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3c92e5-368c-4fc4-b609-a6e28f582ec5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9B548D-E845-4335-9FC9-BEAF0390A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FA76A-B574-4C53-8A33-4ED35E06B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92e5-368c-4fc4-b609-a6e28f582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2CCF0-B1AA-4AFF-8963-B6749CA5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E_CMRecommendations-Template 2778-8882-6627 v.3</Template>
  <TotalTime>437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10328</CharactersWithSpaces>
  <SharedDoc>false</SharedDoc>
  <HLinks>
    <vt:vector size="6" baseType="variant"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http://www.coe.int/cm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Tracey</dc:creator>
  <cp:lastModifiedBy>Martina Stipanović</cp:lastModifiedBy>
  <cp:revision>8</cp:revision>
  <cp:lastPrinted>2023-09-01T14:26:00Z</cp:lastPrinted>
  <dcterms:created xsi:type="dcterms:W3CDTF">2023-09-27T07:53:00Z</dcterms:created>
  <dcterms:modified xsi:type="dcterms:W3CDTF">2023-10-06T08:40:00Z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0x010100FB92B1CC6CF4F944AC69C04BDBA03FAE</vt:lpwstr>
  </property>
</Properties>
</file>